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he Wave Sans TT" w:cs="The Wave Sans TT" w:eastAsia="The Wave Sans TT" w:hAnsi="The Wave Sans TT"/>
          <w:b w:val="1"/>
          <w:color w:val="0032a0"/>
          <w:sz w:val="20"/>
          <w:szCs w:val="20"/>
        </w:rPr>
      </w:pPr>
      <w:bookmarkStart w:colFirst="0" w:colLast="0" w:name="_gjdgxs" w:id="0"/>
      <w:bookmarkEnd w:id="0"/>
      <w:r w:rsidDel="00000000" w:rsidR="00000000" w:rsidRPr="00000000">
        <w:rPr>
          <w:rFonts w:ascii="The Wave Sans TT" w:cs="The Wave Sans TT" w:eastAsia="The Wave Sans TT" w:hAnsi="The Wave Sans TT"/>
          <w:b w:val="1"/>
          <w:color w:val="0032a0"/>
          <w:sz w:val="20"/>
          <w:szCs w:val="20"/>
          <w:rtl w:val="0"/>
        </w:rPr>
        <w:t xml:space="preserve">Μαρούσι, 16 Μαΐου 2024</w:t>
      </w:r>
    </w:p>
    <w:p w:rsidR="00000000" w:rsidDel="00000000" w:rsidP="00000000" w:rsidRDefault="00000000" w:rsidRPr="00000000" w14:paraId="00000002">
      <w:pPr>
        <w:spacing w:after="0" w:line="240" w:lineRule="auto"/>
        <w:rPr>
          <w:rFonts w:ascii="The Wave Sans TT" w:cs="The Wave Sans TT" w:eastAsia="The Wave Sans TT" w:hAnsi="The Wave Sans TT"/>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he Wave Sans TT" w:cs="The Wave Sans TT" w:eastAsia="The Wave Sans TT" w:hAnsi="The Wave Sans TT"/>
          <w:b w:val="1"/>
          <w:sz w:val="26"/>
          <w:szCs w:val="26"/>
        </w:rPr>
      </w:pPr>
      <w:r w:rsidDel="00000000" w:rsidR="00000000" w:rsidRPr="00000000">
        <w:rPr>
          <w:rFonts w:ascii="The Wave Sans TT" w:cs="The Wave Sans TT" w:eastAsia="The Wave Sans TT" w:hAnsi="The Wave Sans TT"/>
          <w:b w:val="1"/>
          <w:sz w:val="26"/>
          <w:szCs w:val="26"/>
          <w:rtl w:val="0"/>
        </w:rPr>
        <w:t xml:space="preserve">Αποτελέσματα Α’ Τριμήνου 2024</w:t>
      </w:r>
    </w:p>
    <w:p w:rsidR="00000000" w:rsidDel="00000000" w:rsidP="00000000" w:rsidRDefault="00000000" w:rsidRPr="00000000" w14:paraId="00000004">
      <w:pPr>
        <w:spacing w:after="0" w:line="240" w:lineRule="auto"/>
        <w:rPr>
          <w:rFonts w:ascii="The Wave Sans TT" w:cs="The Wave Sans TT" w:eastAsia="The Wave Sans TT" w:hAnsi="The Wave Sans TT"/>
        </w:rPr>
      </w:pPr>
      <w:r w:rsidDel="00000000" w:rsidR="00000000" w:rsidRPr="00000000">
        <w:rPr>
          <w:rtl w:val="0"/>
        </w:rPr>
      </w:r>
    </w:p>
    <w:p w:rsidR="00000000" w:rsidDel="00000000" w:rsidP="00000000" w:rsidRDefault="00000000" w:rsidRPr="00000000" w14:paraId="00000005">
      <w:pPr>
        <w:spacing w:after="120" w:lineRule="auto"/>
        <w:rPr>
          <w:rFonts w:ascii="The Wave Sans TT" w:cs="The Wave Sans TT" w:eastAsia="The Wave Sans TT" w:hAnsi="The Wave Sans TT"/>
          <w:b w:val="1"/>
          <w:sz w:val="21"/>
          <w:szCs w:val="21"/>
        </w:rPr>
      </w:pPr>
      <w:bookmarkStart w:colFirst="0" w:colLast="0" w:name="_30j0zll" w:id="1"/>
      <w:bookmarkEnd w:id="1"/>
      <w:r w:rsidDel="00000000" w:rsidR="00000000" w:rsidRPr="00000000">
        <w:rPr>
          <w:rFonts w:ascii="The Wave Sans TT" w:cs="The Wave Sans TT" w:eastAsia="The Wave Sans TT" w:hAnsi="The Wave Sans TT"/>
          <w:b w:val="1"/>
          <w:sz w:val="21"/>
          <w:szCs w:val="21"/>
          <w:rtl w:val="0"/>
        </w:rPr>
        <w:t xml:space="preserve">Ισχυρή κερδοφορία λόγω θετικού περιβάλλοντος διύλισης, λειτουργικής απόδοσης και υψηλών εξαγωγών – Συνεχής πρόοδος στην υλοποίηση των στρατηγικών πρωτοβουλιών</w:t>
      </w:r>
    </w:p>
    <w:p w:rsidR="00000000" w:rsidDel="00000000" w:rsidP="00000000" w:rsidRDefault="00000000" w:rsidRPr="00000000" w14:paraId="00000006">
      <w:pPr>
        <w:spacing w:after="120" w:lineRule="auto"/>
        <w:rPr>
          <w:rFonts w:ascii="The Wave Sans TT" w:cs="The Wave Sans TT" w:eastAsia="The Wave Sans TT" w:hAnsi="The Wave Sans TT"/>
          <w:sz w:val="21"/>
          <w:szCs w:val="21"/>
        </w:rPr>
      </w:pP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rPr>
          <w:sz w:val="20"/>
          <w:szCs w:val="20"/>
        </w:rPr>
      </w:pPr>
      <w:r w:rsidDel="00000000" w:rsidR="00000000" w:rsidRPr="00000000">
        <w:rPr>
          <w:rFonts w:ascii="The Wave Sans TT" w:cs="The Wave Sans TT" w:eastAsia="The Wave Sans TT" w:hAnsi="The Wave Sans TT"/>
          <w:sz w:val="20"/>
          <w:szCs w:val="20"/>
          <w:rtl w:val="0"/>
        </w:rPr>
        <w:t xml:space="preserve">Θετικά λειτουργικά αποτελέσματα το Α’ τρίμηνο του 2024, σε ευνοϊκό διεθνές περιβάλλον διύλισης.</w:t>
      </w:r>
    </w:p>
    <w:p w:rsidR="00000000" w:rsidDel="00000000" w:rsidP="00000000" w:rsidRDefault="00000000" w:rsidRPr="00000000" w14:paraId="00000008">
      <w:pPr>
        <w:spacing w:after="0" w:line="240" w:lineRule="auto"/>
        <w:ind w:left="720" w:firstLine="0"/>
        <w:rPr>
          <w:rFonts w:ascii="The Wave Sans TT" w:cs="The Wave Sans TT" w:eastAsia="The Wave Sans TT" w:hAnsi="The Wave Sans TT"/>
          <w:sz w:val="20"/>
          <w:szCs w:val="20"/>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rPr>
          <w:sz w:val="20"/>
          <w:szCs w:val="20"/>
        </w:rPr>
      </w:pPr>
      <w:r w:rsidDel="00000000" w:rsidR="00000000" w:rsidRPr="00000000">
        <w:rPr>
          <w:rFonts w:ascii="The Wave Sans TT" w:cs="The Wave Sans TT" w:eastAsia="The Wave Sans TT" w:hAnsi="The Wave Sans TT"/>
          <w:sz w:val="20"/>
          <w:szCs w:val="20"/>
          <w:rtl w:val="0"/>
        </w:rPr>
        <w:t xml:space="preserve">Στα €338 εκατ. τα Συγκρίσιμα EBITDA και στα €179 εκατ. τα Δημοσιευμένα Καθαρά Κέρδη.</w:t>
      </w:r>
    </w:p>
    <w:p w:rsidR="00000000" w:rsidDel="00000000" w:rsidP="00000000" w:rsidRDefault="00000000" w:rsidRPr="00000000" w14:paraId="0000000A">
      <w:pPr>
        <w:spacing w:after="0" w:line="240" w:lineRule="auto"/>
        <w:ind w:left="720" w:firstLine="0"/>
        <w:rPr>
          <w:rFonts w:ascii="The Wave Sans TT" w:cs="The Wave Sans TT" w:eastAsia="The Wave Sans TT" w:hAnsi="The Wave Sans TT"/>
          <w:sz w:val="20"/>
          <w:szCs w:val="20"/>
        </w:rPr>
      </w:pP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720" w:hanging="360"/>
        <w:rPr>
          <w:sz w:val="20"/>
          <w:szCs w:val="20"/>
        </w:rPr>
      </w:pPr>
      <w:r w:rsidDel="00000000" w:rsidR="00000000" w:rsidRPr="00000000">
        <w:rPr>
          <w:rFonts w:ascii="The Wave Sans TT" w:cs="The Wave Sans TT" w:eastAsia="The Wave Sans TT" w:hAnsi="The Wave Sans TT"/>
          <w:sz w:val="20"/>
          <w:szCs w:val="20"/>
          <w:rtl w:val="0"/>
        </w:rPr>
        <w:t xml:space="preserve">Αύξηση παραγωγής και εξαγωγών στα υψηλότερα επίπεδα των τελευταίων ετών. </w:t>
      </w:r>
    </w:p>
    <w:p w:rsidR="00000000" w:rsidDel="00000000" w:rsidP="00000000" w:rsidRDefault="00000000" w:rsidRPr="00000000" w14:paraId="0000000C">
      <w:pPr>
        <w:spacing w:after="0" w:line="240" w:lineRule="auto"/>
        <w:ind w:left="720" w:firstLine="0"/>
        <w:rPr>
          <w:rFonts w:ascii="The Wave Sans TT" w:cs="The Wave Sans TT" w:eastAsia="The Wave Sans TT" w:hAnsi="The Wave Sans TT"/>
          <w:sz w:val="20"/>
          <w:szCs w:val="20"/>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rPr>
          <w:sz w:val="20"/>
          <w:szCs w:val="20"/>
        </w:rPr>
      </w:pPr>
      <w:r w:rsidDel="00000000" w:rsidR="00000000" w:rsidRPr="00000000">
        <w:rPr>
          <w:rFonts w:ascii="The Wave Sans TT" w:cs="The Wave Sans TT" w:eastAsia="The Wave Sans TT" w:hAnsi="The Wave Sans TT"/>
          <w:sz w:val="20"/>
          <w:szCs w:val="20"/>
          <w:rtl w:val="0"/>
        </w:rPr>
        <w:t xml:space="preserve">Επενδύσεις €93 εκατ. σε έργα ΑΠΕ και αναβάθμισης μονάδων.</w:t>
      </w:r>
    </w:p>
    <w:p w:rsidR="00000000" w:rsidDel="00000000" w:rsidP="00000000" w:rsidRDefault="00000000" w:rsidRPr="00000000" w14:paraId="0000000E">
      <w:pPr>
        <w:spacing w:after="0" w:line="240" w:lineRule="auto"/>
        <w:ind w:left="720" w:firstLine="0"/>
        <w:rPr>
          <w:rFonts w:ascii="The Wave Sans TT" w:cs="The Wave Sans TT" w:eastAsia="The Wave Sans TT" w:hAnsi="The Wave Sans TT"/>
          <w:sz w:val="20"/>
          <w:szCs w:val="20"/>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sz w:val="20"/>
          <w:szCs w:val="20"/>
        </w:rPr>
      </w:pPr>
      <w:r w:rsidDel="00000000" w:rsidR="00000000" w:rsidRPr="00000000">
        <w:rPr>
          <w:rFonts w:ascii="The Wave Sans TT" w:cs="The Wave Sans TT" w:eastAsia="The Wave Sans TT" w:hAnsi="The Wave Sans TT"/>
          <w:sz w:val="20"/>
          <w:szCs w:val="20"/>
          <w:rtl w:val="0"/>
        </w:rPr>
        <w:t xml:space="preserve">Απρόσκοπτη υλοποίηση του στρατηγικού σχεδιασμού, με έμφαση στην ανάπτυξη δραστηριοτήτων εκτός Ελλάδος. </w:t>
      </w:r>
    </w:p>
    <w:p w:rsidR="00000000" w:rsidDel="00000000" w:rsidP="00000000" w:rsidRDefault="00000000" w:rsidRPr="00000000" w14:paraId="00000010">
      <w:pPr>
        <w:spacing w:after="0" w:line="240" w:lineRule="auto"/>
        <w:ind w:left="720" w:firstLine="0"/>
        <w:rPr>
          <w:rFonts w:ascii="The Wave Sans TT" w:cs="The Wave Sans TT" w:eastAsia="The Wave Sans TT" w:hAnsi="The Wave Sans TT"/>
          <w:sz w:val="20"/>
          <w:szCs w:val="20"/>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sz w:val="20"/>
          <w:szCs w:val="20"/>
        </w:rPr>
      </w:pPr>
      <w:r w:rsidDel="00000000" w:rsidR="00000000" w:rsidRPr="00000000">
        <w:rPr>
          <w:rFonts w:ascii="The Wave Sans TT" w:cs="The Wave Sans TT" w:eastAsia="The Wave Sans TT" w:hAnsi="The Wave Sans TT"/>
          <w:sz w:val="20"/>
          <w:szCs w:val="20"/>
          <w:rtl w:val="0"/>
        </w:rPr>
        <w:t xml:space="preserve">Ωρίμανση και διεύρυνση του χαρτοφυλακίου έργων ΑΠΕ. Στα 381 MW η εγκατεστημένη ισχύς και 0,7 GW σε προχωρημένο στάδιο ανάπτυξης. </w:t>
      </w:r>
    </w:p>
    <w:p w:rsidR="00000000" w:rsidDel="00000000" w:rsidP="00000000" w:rsidRDefault="00000000" w:rsidRPr="00000000" w14:paraId="00000012">
      <w:pPr>
        <w:spacing w:after="0" w:line="240" w:lineRule="auto"/>
        <w:ind w:left="720" w:firstLine="0"/>
        <w:rPr>
          <w:rFonts w:ascii="The Wave Sans TT" w:cs="The Wave Sans TT" w:eastAsia="The Wave Sans TT" w:hAnsi="The Wave Sans TT"/>
          <w:sz w:val="20"/>
          <w:szCs w:val="20"/>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sz w:val="20"/>
          <w:szCs w:val="20"/>
        </w:rPr>
      </w:pPr>
      <w:r w:rsidDel="00000000" w:rsidR="00000000" w:rsidRPr="00000000">
        <w:rPr>
          <w:rFonts w:ascii="The Wave Sans TT" w:cs="The Wave Sans TT" w:eastAsia="The Wave Sans TT" w:hAnsi="The Wave Sans TT"/>
          <w:sz w:val="20"/>
          <w:szCs w:val="20"/>
          <w:rtl w:val="0"/>
        </w:rPr>
        <w:t xml:space="preserve">Λειτουργία της ΕΚΟ Energy Κύπρου, ως πρώτου ολοκληρωμένου ενεργειακού παρόχου που αξιοποιεί παραγωγή ηλεκτρικής ενέργειας από ΑΠΕ.</w:t>
      </w:r>
    </w:p>
    <w:p w:rsidR="00000000" w:rsidDel="00000000" w:rsidP="00000000" w:rsidRDefault="00000000" w:rsidRPr="00000000" w14:paraId="00000014">
      <w:pPr>
        <w:spacing w:after="0" w:line="240" w:lineRule="auto"/>
        <w:ind w:left="720" w:firstLine="0"/>
        <w:rPr>
          <w:rFonts w:ascii="The Wave Sans TT" w:cs="The Wave Sans TT" w:eastAsia="The Wave Sans TT" w:hAnsi="The Wave Sans TT"/>
          <w:sz w:val="20"/>
          <w:szCs w:val="20"/>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rPr>
          <w:sz w:val="20"/>
          <w:szCs w:val="20"/>
        </w:rPr>
      </w:pPr>
      <w:r w:rsidDel="00000000" w:rsidR="00000000" w:rsidRPr="00000000">
        <w:rPr>
          <w:rFonts w:ascii="The Wave Sans TT" w:cs="The Wave Sans TT" w:eastAsia="The Wave Sans TT" w:hAnsi="The Wave Sans TT"/>
          <w:sz w:val="20"/>
          <w:szCs w:val="20"/>
          <w:rtl w:val="0"/>
        </w:rPr>
        <w:t xml:space="preserve">Περαιτέρω ισχυροποίηση ισολογισμού και αναχρηματοδότηση δανεισμού συνολικού ύψους €1 δισ., με ιδιαίτερα ελκυστικούς όρους.</w:t>
      </w:r>
    </w:p>
    <w:p w:rsidR="00000000" w:rsidDel="00000000" w:rsidP="00000000" w:rsidRDefault="00000000" w:rsidRPr="00000000" w14:paraId="00000016">
      <w:pPr>
        <w:spacing w:after="0" w:line="240" w:lineRule="auto"/>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after="120" w:lineRule="auto"/>
        <w:rPr>
          <w:rFonts w:ascii="The Wave Sans TT" w:cs="The Wave Sans TT" w:eastAsia="The Wave Sans TT" w:hAnsi="The Wave Sans TT"/>
          <w:sz w:val="20"/>
          <w:szCs w:val="20"/>
        </w:rPr>
      </w:pPr>
      <w:r w:rsidDel="00000000" w:rsidR="00000000" w:rsidRPr="00000000">
        <w:rPr>
          <w:rtl w:val="0"/>
        </w:rPr>
      </w:r>
    </w:p>
    <w:p w:rsidR="00000000" w:rsidDel="00000000" w:rsidP="00000000" w:rsidRDefault="00000000" w:rsidRPr="00000000" w14:paraId="00000018">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Η HELLENiQ ENERGY Holdings Α.Ε. («Εταιρεία») ανακοίνωσε τα ενοποιημένα οικονομικά αποτελέσματα Α' Τριμήνου 2024, με τα </w:t>
      </w:r>
      <w:r w:rsidDel="00000000" w:rsidR="00000000" w:rsidRPr="00000000">
        <w:rPr>
          <w:rFonts w:ascii="The Wave Sans TT" w:cs="The Wave Sans TT" w:eastAsia="The Wave Sans TT" w:hAnsi="The Wave Sans TT"/>
          <w:b w:val="1"/>
          <w:sz w:val="21"/>
          <w:szCs w:val="21"/>
          <w:rtl w:val="0"/>
        </w:rPr>
        <w:t xml:space="preserve">Συγκρίσιμα Κέρδη EBITDA να διαμορφώνονται στα €338 εκατ. και τα Συγκρίσιμα Καθαρά Κέρδη στα €164 εκατ..</w:t>
      </w:r>
      <w:r w:rsidDel="00000000" w:rsidR="00000000" w:rsidRPr="00000000">
        <w:rPr>
          <w:rFonts w:ascii="The Wave Sans TT" w:cs="The Wave Sans TT" w:eastAsia="The Wave Sans TT" w:hAnsi="The Wave Sans TT"/>
          <w:sz w:val="21"/>
          <w:szCs w:val="21"/>
          <w:rtl w:val="0"/>
        </w:rPr>
        <w:t xml:space="preserve"> </w:t>
      </w:r>
    </w:p>
    <w:p w:rsidR="00000000" w:rsidDel="00000000" w:rsidP="00000000" w:rsidRDefault="00000000" w:rsidRPr="00000000" w14:paraId="00000019">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Τα Δημοσιευμένα Κέρδη EBITDA διαμορφώθηκαν στα €350 εκατ., με τα Δημοσιευμένα Καθαρά Κέρδη να ανέρχονται στα €179 εκατ., καταγράφοντας αύξηση σε σχέση με το Α’ Τρίμηνο 2023, κυρίως λόγω της επίπτωσης επίδρασης των διεθνών τιμών στην αποτίμηση αποθεμάτων.</w:t>
      </w:r>
    </w:p>
    <w:p w:rsidR="00000000" w:rsidDel="00000000" w:rsidP="00000000" w:rsidRDefault="00000000" w:rsidRPr="00000000" w14:paraId="0000001A">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Τα αποτελέσματα επηρεάστηκαν κυρίως από το θετικό διεθνές περιβάλλον διύλισης, την αποτελεσματική λειτουργία των διυλιστηρίων, με αυξημένη διαθεσιμότητα μονάδων, τις ιδιαίτερα υψηλές εξαγωγές, στο ανώτατο επίπεδο των τελευταίων 3 ετών, καθώς και τη βελτιωμένη συνεισφορά από τους κλάδους πετροχημικών και ΑΠΕ.</w:t>
      </w:r>
    </w:p>
    <w:p w:rsidR="00000000" w:rsidDel="00000000" w:rsidP="00000000" w:rsidRDefault="00000000" w:rsidRPr="00000000" w14:paraId="0000001B">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Η παραγωγή προϊόντων για το Α’ Τρίμηνο 2024 αυξήθηκε κατά 5% στους 3,8 εκατ. τόνους, σημειώνοντας την καλύτερη επίδοση από το Α’ Τρίμηνο 2020. Η εξέλιξη αυτή οδήγησε σε αύξηση πωλήσεων σε όλες τις αγορές, που διαμορφώθηκαν στους 4 εκατ. τόνους (+8%), με τις εξαγωγές να αντιστοιχούν στο 62% των συνολικών όγκων. </w:t>
      </w:r>
    </w:p>
    <w:p w:rsidR="00000000" w:rsidDel="00000000" w:rsidP="00000000" w:rsidRDefault="00000000" w:rsidRPr="00000000" w14:paraId="0000001C">
      <w:pPr>
        <w:keepNext w:val="1"/>
        <w:spacing w:after="120" w:lineRule="auto"/>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Υλοποίηση Στρατηγικής</w:t>
      </w:r>
    </w:p>
    <w:p w:rsidR="00000000" w:rsidDel="00000000" w:rsidP="00000000" w:rsidRDefault="00000000" w:rsidRPr="00000000" w14:paraId="0000001D">
      <w:pPr>
        <w:widowControl w:val="0"/>
        <w:spacing w:after="120" w:lineRule="auto"/>
        <w:ind w:right="23"/>
        <w:rPr>
          <w:rFonts w:ascii="The Wave Sans TT" w:cs="The Wave Sans TT" w:eastAsia="The Wave Sans TT" w:hAnsi="The Wave Sans TT"/>
          <w:color w:val="000000"/>
          <w:sz w:val="21"/>
          <w:szCs w:val="21"/>
        </w:rPr>
      </w:pPr>
      <w:r w:rsidDel="00000000" w:rsidR="00000000" w:rsidRPr="00000000">
        <w:rPr>
          <w:rFonts w:ascii="The Wave Sans TT" w:cs="The Wave Sans TT" w:eastAsia="The Wave Sans TT" w:hAnsi="The Wave Sans TT"/>
          <w:color w:val="000000"/>
          <w:sz w:val="21"/>
          <w:szCs w:val="21"/>
          <w:rtl w:val="0"/>
        </w:rPr>
        <w:t xml:space="preserve">Κατά τη διάρκεια του Α’ Τριμήνου 2024, ο Όμιλος συνέχισε να υλοποιεί τη στρατηγική του σε όλες τις δραστηριότητες, με πρωτοβουλίες που συνεισφέρουν μεσοπρόθεσμα στην ενίσχυση της κερδοφορίας, αλλά και στη βελτίωση του περιβαλλοντικού αποτυπώματος.</w:t>
      </w:r>
    </w:p>
    <w:p w:rsidR="00000000" w:rsidDel="00000000" w:rsidP="00000000" w:rsidRDefault="00000000" w:rsidRPr="00000000" w14:paraId="0000001E">
      <w:pPr>
        <w:widowControl w:val="0"/>
        <w:spacing w:after="120" w:lineRule="auto"/>
        <w:ind w:right="23"/>
        <w:rPr>
          <w:rFonts w:ascii="The Wave Sans TT" w:cs="The Wave Sans TT" w:eastAsia="The Wave Sans TT" w:hAnsi="The Wave Sans TT"/>
          <w:color w:val="000000"/>
          <w:sz w:val="21"/>
          <w:szCs w:val="21"/>
        </w:rPr>
      </w:pPr>
      <w:r w:rsidDel="00000000" w:rsidR="00000000" w:rsidRPr="00000000">
        <w:rPr>
          <w:rFonts w:ascii="The Wave Sans TT" w:cs="The Wave Sans TT" w:eastAsia="The Wave Sans TT" w:hAnsi="The Wave Sans TT"/>
          <w:b w:val="1"/>
          <w:color w:val="000000"/>
          <w:sz w:val="21"/>
          <w:szCs w:val="21"/>
          <w:rtl w:val="0"/>
        </w:rPr>
        <w:t xml:space="preserve">Στον κλάδο της Διύλισης και Πετροχημικών</w:t>
      </w:r>
      <w:r w:rsidDel="00000000" w:rsidR="00000000" w:rsidRPr="00000000">
        <w:rPr>
          <w:rFonts w:ascii="The Wave Sans TT" w:cs="The Wave Sans TT" w:eastAsia="The Wave Sans TT" w:hAnsi="The Wave Sans TT"/>
          <w:color w:val="000000"/>
          <w:sz w:val="21"/>
          <w:szCs w:val="21"/>
          <w:rtl w:val="0"/>
        </w:rPr>
        <w:t xml:space="preserve">, επικεντρωνόμαστε στην περαιτέρω </w:t>
      </w:r>
      <w:r w:rsidDel="00000000" w:rsidR="00000000" w:rsidRPr="00000000">
        <w:rPr>
          <w:rFonts w:ascii="The Wave Sans TT" w:cs="The Wave Sans TT" w:eastAsia="The Wave Sans TT" w:hAnsi="The Wave Sans TT"/>
          <w:b w:val="1"/>
          <w:color w:val="000000"/>
          <w:sz w:val="21"/>
          <w:szCs w:val="21"/>
          <w:rtl w:val="0"/>
        </w:rPr>
        <w:t xml:space="preserve">λειτουργική αριστοποίηση, καθώς και στη μείωση των εκπομπών διοξειδίου του άνθρακα, </w:t>
      </w:r>
      <w:r w:rsidDel="00000000" w:rsidR="00000000" w:rsidRPr="00000000">
        <w:rPr>
          <w:rFonts w:ascii="The Wave Sans TT" w:cs="The Wave Sans TT" w:eastAsia="The Wave Sans TT" w:hAnsi="The Wave Sans TT"/>
          <w:color w:val="000000"/>
          <w:sz w:val="21"/>
          <w:szCs w:val="21"/>
          <w:rtl w:val="0"/>
        </w:rPr>
        <w:t xml:space="preserve">με έργα που συμβάλλουν στην ενεργειακή αυτονομία και εξοικονόμηση ενέργειας, παράλληλα με την αξιοποίηση τεχνολογιών δέσμευσης, αποθήκευσης και επαναχρησιμοποίησης CO</w:t>
      </w:r>
      <w:r w:rsidDel="00000000" w:rsidR="00000000" w:rsidRPr="00000000">
        <w:rPr>
          <w:rFonts w:ascii="The Wave Sans TT" w:cs="The Wave Sans TT" w:eastAsia="The Wave Sans TT" w:hAnsi="The Wave Sans TT"/>
          <w:color w:val="000000"/>
          <w:sz w:val="21"/>
          <w:szCs w:val="21"/>
          <w:vertAlign w:val="subscript"/>
          <w:rtl w:val="0"/>
        </w:rPr>
        <w:t xml:space="preserve">2</w:t>
      </w:r>
      <w:r w:rsidDel="00000000" w:rsidR="00000000" w:rsidRPr="00000000">
        <w:rPr>
          <w:rFonts w:ascii="The Wave Sans TT" w:cs="The Wave Sans TT" w:eastAsia="The Wave Sans TT" w:hAnsi="The Wave Sans TT"/>
          <w:color w:val="000000"/>
          <w:sz w:val="21"/>
          <w:szCs w:val="21"/>
          <w:rtl w:val="0"/>
        </w:rPr>
        <w:t xml:space="preserve">. Ταυτόχρονα, βρίσκεται σε πλήρη εξέλιξη η επέκταση του εργοστασίου παραγωγής πολυπροπυλενίου. Όσον αφορά στις διεργασίες για εναλλακτικά καύσιμα</w:t>
      </w:r>
      <w:r w:rsidDel="00000000" w:rsidR="00000000" w:rsidRPr="00000000">
        <w:rPr>
          <w:rFonts w:ascii="The Wave Sans TT" w:cs="The Wave Sans TT" w:eastAsia="The Wave Sans TT" w:hAnsi="The Wave Sans TT"/>
          <w:sz w:val="21"/>
          <w:szCs w:val="21"/>
          <w:rtl w:val="0"/>
        </w:rPr>
        <w:t xml:space="preserve"> χ</w:t>
      </w:r>
      <w:r w:rsidDel="00000000" w:rsidR="00000000" w:rsidRPr="00000000">
        <w:rPr>
          <w:rFonts w:ascii="The Wave Sans TT" w:cs="The Wave Sans TT" w:eastAsia="The Wave Sans TT" w:hAnsi="The Wave Sans TT"/>
          <w:color w:val="000000"/>
          <w:sz w:val="21"/>
          <w:szCs w:val="21"/>
          <w:rtl w:val="0"/>
        </w:rPr>
        <w:t xml:space="preserve">αμηλού ανθρακικού αποτυπώματος, αναπτύσσεται μονάδα συμπαραγωγής Υδρογονωμένου Φυτικού Ελαίου (Hydrotreated Vegetable Oil, HVO) και, ταυτόχρονα, εξετάζονται επενδύσεις σε παραγωγή Βιώσιμου Αεροπορικού Καυσίμου (Sustainable Aviation Fuel, SAF), καθώς και πράσινου υδρογόνου και συνθετικών καυσίμων. </w:t>
      </w:r>
    </w:p>
    <w:p w:rsidR="00000000" w:rsidDel="00000000" w:rsidP="00000000" w:rsidRDefault="00000000" w:rsidRPr="00000000" w14:paraId="0000001F">
      <w:pPr>
        <w:widowControl w:val="0"/>
        <w:spacing w:after="120" w:lineRule="auto"/>
        <w:ind w:right="23"/>
        <w:rPr>
          <w:rFonts w:ascii="The Wave Sans TT" w:cs="The Wave Sans TT" w:eastAsia="The Wave Sans TT" w:hAnsi="The Wave Sans TT"/>
          <w:color w:val="ff0000"/>
          <w:sz w:val="21"/>
          <w:szCs w:val="21"/>
        </w:rPr>
      </w:pPr>
      <w:r w:rsidDel="00000000" w:rsidR="00000000" w:rsidRPr="00000000">
        <w:rPr>
          <w:rFonts w:ascii="The Wave Sans TT" w:cs="The Wave Sans TT" w:eastAsia="The Wave Sans TT" w:hAnsi="The Wave Sans TT"/>
          <w:b w:val="1"/>
          <w:sz w:val="21"/>
          <w:szCs w:val="21"/>
          <w:rtl w:val="0"/>
        </w:rPr>
        <w:t xml:space="preserve">Στη λιανική Εμπορία</w:t>
      </w:r>
      <w:r w:rsidDel="00000000" w:rsidR="00000000" w:rsidRPr="00000000">
        <w:rPr>
          <w:rFonts w:ascii="The Wave Sans TT" w:cs="The Wave Sans TT" w:eastAsia="The Wave Sans TT" w:hAnsi="The Wave Sans TT"/>
          <w:sz w:val="21"/>
          <w:szCs w:val="21"/>
          <w:rtl w:val="0"/>
        </w:rPr>
        <w:t xml:space="preserve">, στοχεύουμε στην </w:t>
      </w:r>
      <w:r w:rsidDel="00000000" w:rsidR="00000000" w:rsidRPr="00000000">
        <w:rPr>
          <w:rFonts w:ascii="The Wave Sans TT" w:cs="The Wave Sans TT" w:eastAsia="The Wave Sans TT" w:hAnsi="The Wave Sans TT"/>
          <w:b w:val="1"/>
          <w:sz w:val="21"/>
          <w:szCs w:val="21"/>
          <w:rtl w:val="0"/>
        </w:rPr>
        <w:t xml:space="preserve">αναβάθμιση των συνολικών υπηρεσιών, με την αξιοποίηση του εκτεταμένου δικτύου και των σύγχρονων τεχνολογιών</w:t>
      </w:r>
      <w:r w:rsidDel="00000000" w:rsidR="00000000" w:rsidRPr="00000000">
        <w:rPr>
          <w:rFonts w:ascii="The Wave Sans TT" w:cs="The Wave Sans TT" w:eastAsia="The Wave Sans TT" w:hAnsi="The Wave Sans TT"/>
          <w:sz w:val="21"/>
          <w:szCs w:val="21"/>
          <w:rtl w:val="0"/>
        </w:rPr>
        <w:t xml:space="preserve">. Η έμφαση δίνεται στον εξορθολογισμό τού δικτύου στην εσωτερική αγορά, με αύξηση του ποσοστού των ιδιολειτουργούμενων πρατηρίων, καθώς και στη στοχευμένη επέκταση του δικτύου στο εξωτερικό. Ταυτόχρονα, επιδιώκεται περαιτέρω βελτίωση του μείγματος πωλήσεων, με αυξημένη συνεισφορά των διαφοροποιημένων καυσίμων κίνησης και των πωλήσεων μη πετρελαιοειδών, ήδη, με εμφανή αποτελέσματα. </w:t>
      </w:r>
      <w:r w:rsidDel="00000000" w:rsidR="00000000" w:rsidRPr="00000000">
        <w:rPr>
          <w:rtl w:val="0"/>
        </w:rPr>
      </w:r>
    </w:p>
    <w:p w:rsidR="00000000" w:rsidDel="00000000" w:rsidP="00000000" w:rsidRDefault="00000000" w:rsidRPr="00000000" w14:paraId="00000020">
      <w:pPr>
        <w:widowControl w:val="0"/>
        <w:spacing w:after="120" w:lineRule="auto"/>
        <w:ind w:right="23"/>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Πρόσφατα, εξάλλου, ξεκίνησε η εμπορική λειτουργία της </w:t>
      </w:r>
      <w:r w:rsidDel="00000000" w:rsidR="00000000" w:rsidRPr="00000000">
        <w:rPr>
          <w:rFonts w:ascii="The Wave Sans TT" w:cs="The Wave Sans TT" w:eastAsia="The Wave Sans TT" w:hAnsi="The Wave Sans TT"/>
          <w:b w:val="1"/>
          <w:sz w:val="21"/>
          <w:szCs w:val="21"/>
          <w:rtl w:val="0"/>
        </w:rPr>
        <w:t xml:space="preserve">ΕΚΟ Energy στην Κύπρο</w:t>
      </w:r>
      <w:r w:rsidDel="00000000" w:rsidR="00000000" w:rsidRPr="00000000">
        <w:rPr>
          <w:rFonts w:ascii="The Wave Sans TT" w:cs="The Wave Sans TT" w:eastAsia="The Wave Sans TT" w:hAnsi="The Wave Sans TT"/>
          <w:sz w:val="21"/>
          <w:szCs w:val="21"/>
          <w:rtl w:val="0"/>
        </w:rPr>
        <w:t xml:space="preserve">, η οποία επεκτείνει την ήδη πετυχημένη παρουσία του Ομίλου στη συγκεκριμένη χώρα. Φιλοδοξεί να καλύψει το σύνολο των ενεργειακών αναγκών για επιλεγμένους εμπορικούς και βιομηχανικούς καταναλωτές, ως ο πρώτος ολοκληρωμένος και καθετοποιημένος ενεργειακός πάροχος στην Κύπρο. Η ΕΚΟ Energy Κύπρου, εκμεταλλευόμενη παράλληλα το ηγετικό μερίδιο στην αγορά καυσίμων της ΕΚΟ Κύπρου μέσω εκτεταμένου δικτύου πρατηρίων, διευρύνει το προσφερόμενο χαρτοφυλάκιο προϊόντων, αξιοποιώντας την παραγωγή ηλεκτρικής ενέργειας από ΑΠΕ. Η συνολική ισχύς των εν λειτουργία έργων ΑΠΕ του Ομίλου στην Κύπρο αποτελεί το 15% του δυναμικού των φωτοβολταϊκών πάρκων που συμμετέχουν στην αγορά ηλεκτρισμού, ενώ αναμένεται να αυξηθεί τα επόμενα έτη.</w:t>
      </w:r>
    </w:p>
    <w:p w:rsidR="00000000" w:rsidDel="00000000" w:rsidP="00000000" w:rsidRDefault="00000000" w:rsidRPr="00000000" w14:paraId="00000021">
      <w:pPr>
        <w:widowControl w:val="0"/>
        <w:spacing w:after="120" w:lineRule="auto"/>
        <w:ind w:right="23"/>
        <w:rPr>
          <w:rFonts w:ascii="The Wave Sans TT" w:cs="The Wave Sans TT" w:eastAsia="The Wave Sans TT" w:hAnsi="The Wave Sans TT"/>
          <w:b w:val="1"/>
          <w:sz w:val="21"/>
          <w:szCs w:val="21"/>
        </w:rPr>
      </w:pPr>
      <w:bookmarkStart w:colFirst="0" w:colLast="0" w:name="_1fob9te" w:id="2"/>
      <w:bookmarkEnd w:id="2"/>
      <w:r w:rsidDel="00000000" w:rsidR="00000000" w:rsidRPr="00000000">
        <w:rPr>
          <w:rFonts w:ascii="The Wave Sans TT" w:cs="The Wave Sans TT" w:eastAsia="The Wave Sans TT" w:hAnsi="The Wave Sans TT"/>
          <w:b w:val="1"/>
          <w:sz w:val="21"/>
          <w:szCs w:val="21"/>
          <w:rtl w:val="0"/>
        </w:rPr>
        <w:t xml:space="preserve">Αναλυτικότερα, στον τομέα των ΑΠΕ</w:t>
      </w:r>
      <w:r w:rsidDel="00000000" w:rsidR="00000000" w:rsidRPr="00000000">
        <w:rPr>
          <w:rFonts w:ascii="The Wave Sans TT" w:cs="The Wave Sans TT" w:eastAsia="The Wave Sans TT" w:hAnsi="The Wave Sans TT"/>
          <w:sz w:val="21"/>
          <w:szCs w:val="21"/>
          <w:rtl w:val="0"/>
        </w:rPr>
        <w:t xml:space="preserve"> η HELLENiQ RENEWABLES συνεχίζει τη διεύρυνση του χαρτοφυλακίου της αυξάνοντας στο τέλος του Α’ Τριμήνου 2024 τη συνολική εγκατεστημένη ισχύ σε 381 MW. Επιπρόσθετα έργα 0,7 GW βρίσκονται υπό κατασκευή, ή σε προχωρημένο στάδιο ανάπτυξης. Επισημαίνεται ότι </w:t>
      </w:r>
      <w:r w:rsidDel="00000000" w:rsidR="00000000" w:rsidRPr="00000000">
        <w:rPr>
          <w:rFonts w:ascii="The Wave Sans TT" w:cs="The Wave Sans TT" w:eastAsia="The Wave Sans TT" w:hAnsi="The Wave Sans TT"/>
          <w:b w:val="1"/>
          <w:sz w:val="21"/>
          <w:szCs w:val="21"/>
          <w:rtl w:val="0"/>
        </w:rPr>
        <w:t xml:space="preserve">το συνολικό χαρτοφυλάκιο έργων υπό ανάπτυξη ανέρχεται σε 4,3 GW</w:t>
      </w:r>
      <w:r w:rsidDel="00000000" w:rsidR="00000000" w:rsidRPr="00000000">
        <w:rPr>
          <w:rFonts w:ascii="The Wave Sans TT" w:cs="The Wave Sans TT" w:eastAsia="The Wave Sans TT" w:hAnsi="The Wave Sans TT"/>
          <w:sz w:val="21"/>
          <w:szCs w:val="21"/>
          <w:rtl w:val="0"/>
        </w:rPr>
        <w:t xml:space="preserve">. Στόχος είναι η λειτουργία έργων ΑΠΕ</w:t>
      </w:r>
      <w:r w:rsidDel="00000000" w:rsidR="00000000" w:rsidRPr="00000000">
        <w:rPr>
          <w:rFonts w:ascii="The Wave Sans TT" w:cs="The Wave Sans TT" w:eastAsia="The Wave Sans TT" w:hAnsi="The Wave Sans TT"/>
          <w:b w:val="1"/>
          <w:sz w:val="21"/>
          <w:szCs w:val="21"/>
          <w:rtl w:val="0"/>
        </w:rPr>
        <w:t xml:space="preserve"> ισχύος τουλάχιστον 1 GW μέχρι το 2025 και άνω των 2 GW μέχρι το 2030.</w:t>
      </w:r>
    </w:p>
    <w:p w:rsidR="00000000" w:rsidDel="00000000" w:rsidP="00000000" w:rsidRDefault="00000000" w:rsidRPr="00000000" w14:paraId="00000022">
      <w:pPr>
        <w:widowControl w:val="0"/>
        <w:spacing w:after="120" w:lineRule="auto"/>
        <w:ind w:right="23"/>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b w:val="1"/>
          <w:sz w:val="21"/>
          <w:szCs w:val="21"/>
          <w:rtl w:val="0"/>
        </w:rPr>
        <w:t xml:space="preserve">Στον τομέα της Έρευνας και Παραγωγής Υδρογονανθράκων,</w:t>
      </w:r>
      <w:r w:rsidDel="00000000" w:rsidR="00000000" w:rsidRPr="00000000">
        <w:rPr>
          <w:rFonts w:ascii="The Wave Sans TT" w:cs="The Wave Sans TT" w:eastAsia="The Wave Sans TT" w:hAnsi="The Wave Sans TT"/>
          <w:sz w:val="21"/>
          <w:szCs w:val="21"/>
          <w:rtl w:val="0"/>
        </w:rPr>
        <w:t xml:space="preserve"> ολοκληρώθηκε η επεξεργασία των δεδομένων από τις τρισδιάστατες (3D) γεωφυσικές καταγραφές σε 3 θαλάσσιες περιοχές («Ιόνιο», «Block 2», «Block 10»), καθώς και από τις δισδιάστατες (2D) καταγραφές που είχαν πραγματοποιηθεί σε 2 θαλάσσιες περιοχές στην Κρήτη, με την ερμηνεία τους να βρίσκεται σε εξέλιξη. Στη θαλάσσια περιοχή «Νοτιοδυτικά Κρήτης», ολοκληρώθηκαν, επίσης, τρισδιάστατες γεωφυσικές καταγραφές και θα ακολουθήσει η επεξεργασία και ερμηνεία των δεδομένων. </w:t>
      </w:r>
    </w:p>
    <w:p w:rsidR="00000000" w:rsidDel="00000000" w:rsidP="00000000" w:rsidRDefault="00000000" w:rsidRPr="00000000" w14:paraId="00000023">
      <w:pPr>
        <w:spacing w:after="120" w:lineRule="auto"/>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Ελαφρώς ενισχυμένες οι τιμές του αργού – Μειωμένα τα περιθώρια διύλισης</w:t>
      </w:r>
    </w:p>
    <w:p w:rsidR="00000000" w:rsidDel="00000000" w:rsidP="00000000" w:rsidRDefault="00000000" w:rsidRPr="00000000" w14:paraId="00000024">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Οι τιμές αργού πετρελαίου (τύπου Brent) το Α’ Τρίμηνο 2024 διαμορφώθηκαν ελαφρώς υψηλότερα σε σχέση με το Α’ Τρίμηνο 2023, στα $83/βαρέλι. Αντίστοιχα, η ισοτιμία του Ευρώ έναντι του Δολαρίου ενισχύθηκε ελαφρώς και διαμορφώθηκε κατά μέσο όρο στα 1,09, έναντι 1,07 το Α’ Τρίμηνο 2023. </w:t>
      </w:r>
    </w:p>
    <w:p w:rsidR="00000000" w:rsidDel="00000000" w:rsidP="00000000" w:rsidRDefault="00000000" w:rsidRPr="00000000" w14:paraId="00000025">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Οι τιμές του φυσικού αερίου και της ηλεκτρικής ενέργειας υποχώρησαν περαιτέρω και διαμορφώθηκαν σημαντικά χαμηλότερα σε σχέση με το Α’ Τρίμηνο 2023, κατά 50% περίπου. Αντίστοιχα, οι τιμές δικαιωμάτων εκπομπών CO</w:t>
      </w:r>
      <w:r w:rsidDel="00000000" w:rsidR="00000000" w:rsidRPr="00000000">
        <w:rPr>
          <w:rFonts w:ascii="The Wave Sans TT" w:cs="The Wave Sans TT" w:eastAsia="The Wave Sans TT" w:hAnsi="The Wave Sans TT"/>
          <w:sz w:val="21"/>
          <w:szCs w:val="21"/>
          <w:vertAlign w:val="subscript"/>
          <w:rtl w:val="0"/>
        </w:rPr>
        <w:t xml:space="preserve">2</w:t>
      </w:r>
      <w:r w:rsidDel="00000000" w:rsidR="00000000" w:rsidRPr="00000000">
        <w:rPr>
          <w:rFonts w:ascii="The Wave Sans TT" w:cs="The Wave Sans TT" w:eastAsia="The Wave Sans TT" w:hAnsi="The Wave Sans TT"/>
          <w:sz w:val="21"/>
          <w:szCs w:val="21"/>
          <w:rtl w:val="0"/>
        </w:rPr>
        <w:t xml:space="preserve"> κατέγραψαν μείωση κατά 31%, κατά μέσο όρο, σε σχέση με την αντίστοιχη περσινή περίοδο.</w:t>
      </w:r>
    </w:p>
    <w:p w:rsidR="00000000" w:rsidDel="00000000" w:rsidP="00000000" w:rsidRDefault="00000000" w:rsidRPr="00000000" w14:paraId="00000026">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Τα περιθώρια διύλισης υποχώρησαν σε σχέση με τα ιδιαίτερα υψηλά επίπεδα του Α’ Τριμήνου 2023, παρέμειναν, ωστόσο, υψηλότερα συγκριτικά με τον πιο πρόσφατο (προ πανδημίας) πενταετή κύκλο (2015-2019). Το διεθνές περιθώριο αναφοράς συστήματος των διυλιστηρίων μας διαμορφώθηκε το Α’ Τρίμηνο 2024 κατά μέσο όρο στα $8,8/βαρέλι, έναντι $10,6/βαρέλι το Α’ Τρίμηνο 2023.</w:t>
      </w:r>
    </w:p>
    <w:p w:rsidR="00000000" w:rsidDel="00000000" w:rsidP="00000000" w:rsidRDefault="00000000" w:rsidRPr="00000000" w14:paraId="00000027">
      <w:pPr>
        <w:spacing w:after="120" w:lineRule="auto"/>
        <w:rPr>
          <w:rFonts w:ascii="The Wave Sans TT" w:cs="The Wave Sans TT" w:eastAsia="The Wave Sans TT" w:hAnsi="The Wave Sans TT"/>
          <w:b w:val="1"/>
          <w:color w:val="ff0000"/>
          <w:sz w:val="21"/>
          <w:szCs w:val="21"/>
          <w:highlight w:val="yellow"/>
        </w:rPr>
      </w:pPr>
      <w:r w:rsidDel="00000000" w:rsidR="00000000" w:rsidRPr="00000000">
        <w:rPr>
          <w:rtl w:val="0"/>
        </w:rPr>
      </w:r>
    </w:p>
    <w:p w:rsidR="00000000" w:rsidDel="00000000" w:rsidP="00000000" w:rsidRDefault="00000000" w:rsidRPr="00000000" w14:paraId="00000028">
      <w:pPr>
        <w:spacing w:after="120" w:lineRule="auto"/>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Υψηλότερη ζήτηση στην εσωτερική αγορά</w:t>
      </w:r>
    </w:p>
    <w:p w:rsidR="00000000" w:rsidDel="00000000" w:rsidP="00000000" w:rsidRDefault="00000000" w:rsidRPr="00000000" w14:paraId="00000029">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Η ζήτηση στην εσωτερική αγορά διαμορφώθηκε στους 1,6 εκατ. τόνους το Α’ Τρίμηνο 2024, υψηλότερα κατά 2%, με την κατανάλωση των καυσίμων κίνησης να βελτιώνεται κατά 4% σε σχέση με το Α’ Τρίμηνο 2023. Σημαντική αύξηση σημείωσε η ζήτηση αεροπορικών και ναυτιλιακών καυσίμων, για την ίδια περίοδο, κατά 19% και 9% αντίστοιχα. </w:t>
      </w:r>
    </w:p>
    <w:p w:rsidR="00000000" w:rsidDel="00000000" w:rsidP="00000000" w:rsidRDefault="00000000" w:rsidRPr="00000000" w14:paraId="0000002A">
      <w:pPr>
        <w:spacing w:after="120" w:lineRule="auto"/>
        <w:rPr>
          <w:rFonts w:ascii="The Wave Sans TT" w:cs="The Wave Sans TT" w:eastAsia="The Wave Sans TT" w:hAnsi="The Wave Sans TT"/>
          <w:b w:val="1"/>
          <w:sz w:val="21"/>
          <w:szCs w:val="21"/>
        </w:rPr>
      </w:pPr>
      <w:r w:rsidDel="00000000" w:rsidR="00000000" w:rsidRPr="00000000">
        <w:rPr>
          <w:rtl w:val="0"/>
        </w:rPr>
      </w:r>
    </w:p>
    <w:p w:rsidR="00000000" w:rsidDel="00000000" w:rsidP="00000000" w:rsidRDefault="00000000" w:rsidRPr="00000000" w14:paraId="0000002B">
      <w:pPr>
        <w:spacing w:after="120" w:lineRule="auto"/>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Ισολογισμός και επενδυτικές δαπάνες </w:t>
      </w:r>
    </w:p>
    <w:p w:rsidR="00000000" w:rsidDel="00000000" w:rsidP="00000000" w:rsidRDefault="00000000" w:rsidRPr="00000000" w14:paraId="0000002C">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Οι λειτουργικές ταμειακές ροές ανήλθαν το Α’ Τρίμηνο 2024 στα €83 εκατ., παρά την αποπληρωμή των τελευταίων δόσεων της Συνεισφοράς Αλληλεγγύης, αλλά και την προσωρινή επιβάρυνση που υπήρξε στο κεφάλαιο κίνησης λόγω των αναταράξεων στις εμπορικές ροές στην ευρύτερη περιοχή της Μέσης Ανατολής, σε συνέχεια των γεωπολιτικών εξελίξεων στην Ερυθρά Θάλασσα. Οι επενδυτικές δαπάνες διαμορφώθηκαν σε €93 εκατ., κατευθυνόμενες κυρίως σε έργα συντήρησης στα διυλιστήρια και στην ανάπτυξη των ΑΠΕ. </w:t>
      </w:r>
    </w:p>
    <w:p w:rsidR="00000000" w:rsidDel="00000000" w:rsidP="00000000" w:rsidRDefault="00000000" w:rsidRPr="00000000" w14:paraId="0000002D">
      <w:pPr>
        <w:spacing w:after="120" w:lineRule="auto"/>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sz w:val="21"/>
          <w:szCs w:val="21"/>
          <w:rtl w:val="0"/>
        </w:rPr>
        <w:t xml:space="preserve">Ο καθαρός δανεισμός ανήλθε στα €1,75 δισ., ελαφρώς αυξημένος σε σχέση με το τέλος του 2023. Ο δείκτης δανειακής μόχλευσης (καθαρός δανεισμός προς συνολικά κεφάλαια) διαμορφώθηκε στο 36%, αμετάβλητος σε σχέση με το προηγούμενο τρίμηνο. </w:t>
      </w:r>
    </w:p>
    <w:p w:rsidR="00000000" w:rsidDel="00000000" w:rsidP="00000000" w:rsidRDefault="00000000" w:rsidRPr="00000000" w14:paraId="0000002E">
      <w:pPr>
        <w:spacing w:after="120" w:lineRule="auto"/>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sz w:val="21"/>
          <w:szCs w:val="21"/>
          <w:rtl w:val="0"/>
        </w:rPr>
        <w:t xml:space="preserve">Επιπλέον, εντός των επόμενων εβδομάδων αναμένεται να ολοκληρωθεί </w:t>
      </w:r>
      <w:r w:rsidDel="00000000" w:rsidR="00000000" w:rsidRPr="00000000">
        <w:rPr>
          <w:rFonts w:ascii="The Wave Sans TT" w:cs="The Wave Sans TT" w:eastAsia="The Wave Sans TT" w:hAnsi="The Wave Sans TT"/>
          <w:b w:val="1"/>
          <w:sz w:val="21"/>
          <w:szCs w:val="21"/>
          <w:rtl w:val="0"/>
        </w:rPr>
        <w:t xml:space="preserve">η αναχρηματοδότηση δανεισμού συνολικού ύψους €1 δισ.,</w:t>
      </w:r>
      <w:r w:rsidDel="00000000" w:rsidR="00000000" w:rsidRPr="00000000">
        <w:rPr>
          <w:rFonts w:ascii="The Wave Sans TT" w:cs="The Wave Sans TT" w:eastAsia="The Wave Sans TT" w:hAnsi="The Wave Sans TT"/>
          <w:sz w:val="21"/>
          <w:szCs w:val="21"/>
          <w:rtl w:val="0"/>
        </w:rPr>
        <w:t xml:space="preserve"> με ιδιαίτερα ελκυστικούς όρους, μειωμένα περιθώρια επιτοκίου που μετριάζουν την εξάρτηση από τη μεταβλητότητα των διεθνών επιτοκίων αναφοράς, αλλά και επέκταση του συνολικού προφίλ ωρίμανσης κατά ένα έτος</w:t>
      </w:r>
      <w:r w:rsidDel="00000000" w:rsidR="00000000" w:rsidRPr="00000000">
        <w:rPr>
          <w:rFonts w:ascii="The Wave Sans TT" w:cs="The Wave Sans TT" w:eastAsia="The Wave Sans TT" w:hAnsi="The Wave Sans TT"/>
          <w:b w:val="1"/>
          <w:sz w:val="21"/>
          <w:szCs w:val="21"/>
          <w:rtl w:val="0"/>
        </w:rPr>
        <w:t xml:space="preserve">. </w:t>
      </w:r>
      <w:r w:rsidDel="00000000" w:rsidR="00000000" w:rsidRPr="00000000">
        <w:rPr>
          <w:rFonts w:ascii="The Wave Sans TT" w:cs="The Wave Sans TT" w:eastAsia="The Wave Sans TT" w:hAnsi="The Wave Sans TT"/>
          <w:sz w:val="21"/>
          <w:szCs w:val="21"/>
          <w:rtl w:val="0"/>
        </w:rPr>
        <w:t xml:space="preserve">Ο Όμιλος εξετάζει τις επιλογές του αναφορικά με τη λήξη του ευρω-ομολόγου ύψους €600 εκατ., που λήγει τον Οκτώβριο του 2024.</w:t>
      </w:r>
      <w:r w:rsidDel="00000000" w:rsidR="00000000" w:rsidRPr="00000000">
        <w:rPr>
          <w:rtl w:val="0"/>
        </w:rPr>
      </w:r>
    </w:p>
    <w:p w:rsidR="00000000" w:rsidDel="00000000" w:rsidP="00000000" w:rsidRDefault="00000000" w:rsidRPr="00000000" w14:paraId="0000002F">
      <w:pPr>
        <w:widowControl w:val="0"/>
        <w:spacing w:after="120" w:lineRule="auto"/>
        <w:ind w:right="-199"/>
        <w:rPr>
          <w:rFonts w:ascii="The Wave Sans TT" w:cs="The Wave Sans TT" w:eastAsia="The Wave Sans TT" w:hAnsi="The Wave Sans TT"/>
          <w:b w:val="1"/>
          <w:color w:val="ff0000"/>
          <w:sz w:val="21"/>
          <w:szCs w:val="21"/>
        </w:rPr>
      </w:pPr>
      <w:r w:rsidDel="00000000" w:rsidR="00000000" w:rsidRPr="00000000">
        <w:rPr>
          <w:rtl w:val="0"/>
        </w:rPr>
      </w:r>
    </w:p>
    <w:p w:rsidR="00000000" w:rsidDel="00000000" w:rsidP="00000000" w:rsidRDefault="00000000" w:rsidRPr="00000000" w14:paraId="00000030">
      <w:pPr>
        <w:widowControl w:val="0"/>
        <w:spacing w:after="120" w:lineRule="auto"/>
        <w:ind w:right="-199"/>
        <w:rPr>
          <w:rFonts w:ascii="The Wave Sans TT" w:cs="The Wave Sans TT" w:eastAsia="The Wave Sans TT" w:hAnsi="The Wave Sans TT"/>
          <w:b w:val="1"/>
          <w:color w:val="ff0000"/>
          <w:sz w:val="21"/>
          <w:szCs w:val="21"/>
        </w:rPr>
      </w:pPr>
      <w:r w:rsidDel="00000000" w:rsidR="00000000" w:rsidRPr="00000000">
        <w:rPr>
          <w:rtl w:val="0"/>
        </w:rPr>
      </w:r>
    </w:p>
    <w:p w:rsidR="00000000" w:rsidDel="00000000" w:rsidP="00000000" w:rsidRDefault="00000000" w:rsidRPr="00000000" w14:paraId="00000031">
      <w:pPr>
        <w:widowControl w:val="0"/>
        <w:spacing w:after="120" w:lineRule="auto"/>
        <w:ind w:right="-199"/>
        <w:rPr>
          <w:rFonts w:ascii="The Wave Sans TT" w:cs="The Wave Sans TT" w:eastAsia="The Wave Sans TT" w:hAnsi="The Wave Sans TT"/>
          <w:b w:val="1"/>
          <w:color w:val="ff0000"/>
          <w:sz w:val="21"/>
          <w:szCs w:val="21"/>
        </w:rPr>
      </w:pPr>
      <w:r w:rsidDel="00000000" w:rsidR="00000000" w:rsidRPr="00000000">
        <w:rPr>
          <w:rtl w:val="0"/>
        </w:rPr>
      </w:r>
    </w:p>
    <w:p w:rsidR="00000000" w:rsidDel="00000000" w:rsidP="00000000" w:rsidRDefault="00000000" w:rsidRPr="00000000" w14:paraId="00000032">
      <w:pPr>
        <w:widowControl w:val="0"/>
        <w:spacing w:after="120" w:lineRule="auto"/>
        <w:ind w:right="26"/>
        <w:rPr>
          <w:rFonts w:ascii="The Wave Sans TT" w:cs="The Wave Sans TT" w:eastAsia="The Wave Sans TT" w:hAnsi="The Wave Sans TT"/>
          <w:sz w:val="21"/>
          <w:szCs w:val="21"/>
        </w:rPr>
      </w:pPr>
      <w:r w:rsidDel="00000000" w:rsidR="00000000" w:rsidRPr="00000000">
        <w:rPr>
          <w:rFonts w:ascii="The Wave Sans TT" w:cs="The Wave Sans TT" w:eastAsia="The Wave Sans TT" w:hAnsi="The Wave Sans TT"/>
          <w:b w:val="1"/>
          <w:sz w:val="21"/>
          <w:szCs w:val="21"/>
          <w:rtl w:val="0"/>
        </w:rPr>
        <w:t xml:space="preserve">Σχολιάζοντας τα αποτελέσματα, ο Διευθύνων Σύμβουλος της HELLENiQ ENERGY Holdings A.E., Ανδρέας Σιάμισιης, επεσήμανε:</w:t>
      </w:r>
      <w:r w:rsidDel="00000000" w:rsidR="00000000" w:rsidRPr="00000000">
        <w:rPr>
          <w:rtl w:val="0"/>
        </w:rPr>
      </w:r>
    </w:p>
    <w:p w:rsidR="00000000" w:rsidDel="00000000" w:rsidP="00000000" w:rsidRDefault="00000000" w:rsidRPr="00000000" w14:paraId="00000033">
      <w:pPr>
        <w:widowControl w:val="0"/>
        <w:spacing w:after="120" w:lineRule="auto"/>
        <w:ind w:right="26"/>
        <w:rPr>
          <w:rFonts w:ascii="The Wave Sans TT" w:cs="The Wave Sans TT" w:eastAsia="The Wave Sans TT" w:hAnsi="The Wave Sans TT"/>
          <w:i w:val="1"/>
          <w:sz w:val="21"/>
          <w:szCs w:val="21"/>
        </w:rPr>
      </w:pPr>
      <w:r w:rsidDel="00000000" w:rsidR="00000000" w:rsidRPr="00000000">
        <w:rPr>
          <w:rFonts w:ascii="The Wave Sans TT" w:cs="The Wave Sans TT" w:eastAsia="The Wave Sans TT" w:hAnsi="The Wave Sans TT"/>
          <w:i w:val="1"/>
          <w:sz w:val="21"/>
          <w:szCs w:val="21"/>
          <w:rtl w:val="0"/>
        </w:rPr>
        <w:t xml:space="preserve">«Το 2024 ξεκίνησε με θετικό τρόπο, καθώς τα οικονομικά μας αποτελέσματα παραμένουν ισχυρά σημειώνοντας υψηλές </w:t>
      </w:r>
      <w:r w:rsidDel="00000000" w:rsidR="00000000" w:rsidRPr="00000000">
        <w:rPr>
          <w:rFonts w:ascii="The Wave Sans TT" w:cs="The Wave Sans TT" w:eastAsia="The Wave Sans TT" w:hAnsi="The Wave Sans TT"/>
          <w:b w:val="1"/>
          <w:i w:val="1"/>
          <w:sz w:val="21"/>
          <w:szCs w:val="21"/>
          <w:rtl w:val="0"/>
        </w:rPr>
        <w:t xml:space="preserve">πωλήσεις προϊόντων διύλισης (+8%) και κερδοφορία EBITDA €338 εκατ.. </w:t>
      </w:r>
      <w:r w:rsidDel="00000000" w:rsidR="00000000" w:rsidRPr="00000000">
        <w:rPr>
          <w:rFonts w:ascii="The Wave Sans TT" w:cs="The Wave Sans TT" w:eastAsia="The Wave Sans TT" w:hAnsi="The Wave Sans TT"/>
          <w:i w:val="1"/>
          <w:sz w:val="21"/>
          <w:szCs w:val="21"/>
          <w:rtl w:val="0"/>
        </w:rPr>
        <w:t xml:space="preserve">Κινητήριος δύναμη, εκτός του περιβάλλοντος διύλισης, παραμένουν οι αυξημένες εξαγωγές, η καλή λειτουργία των διυλιστηρίων και η επέκταση σε δραστηριότητες του εξωτερικού.</w:t>
      </w:r>
    </w:p>
    <w:p w:rsidR="00000000" w:rsidDel="00000000" w:rsidP="00000000" w:rsidRDefault="00000000" w:rsidRPr="00000000" w14:paraId="00000034">
      <w:pPr>
        <w:widowControl w:val="0"/>
        <w:spacing w:after="120" w:lineRule="auto"/>
        <w:ind w:right="26"/>
        <w:rPr>
          <w:rFonts w:ascii="The Wave Sans TT" w:cs="The Wave Sans TT" w:eastAsia="The Wave Sans TT" w:hAnsi="The Wave Sans TT"/>
          <w:i w:val="1"/>
          <w:sz w:val="21"/>
          <w:szCs w:val="21"/>
        </w:rPr>
      </w:pPr>
      <w:r w:rsidDel="00000000" w:rsidR="00000000" w:rsidRPr="00000000">
        <w:rPr>
          <w:rFonts w:ascii="The Wave Sans TT" w:cs="The Wave Sans TT" w:eastAsia="The Wave Sans TT" w:hAnsi="The Wave Sans TT"/>
          <w:i w:val="1"/>
          <w:sz w:val="21"/>
          <w:szCs w:val="21"/>
          <w:rtl w:val="0"/>
        </w:rPr>
        <w:t xml:space="preserve">Στρατηγικά, προχωρούμε με την υλοποίηση του Vision 2025, το οποίο στοχεύει στην ενδυνάμωση των παραδοσιακών μας δραστηριοτήτων, στη δημιουργία ενός νέου σημαντικού πυλώνα σε ΑΠΕ, ενώ ταυτόχρονα επενδύει στη βελτίωση του τρόπου λειτουργίας του Ομίλου και στην ενδυνάμωση του ανθρώπινου δυναμικού.</w:t>
      </w:r>
    </w:p>
    <w:p w:rsidR="00000000" w:rsidDel="00000000" w:rsidP="00000000" w:rsidRDefault="00000000" w:rsidRPr="00000000" w14:paraId="00000035">
      <w:pPr>
        <w:widowControl w:val="0"/>
        <w:spacing w:after="120" w:lineRule="auto"/>
        <w:ind w:right="26"/>
        <w:rPr>
          <w:rFonts w:ascii="The Wave Sans TT" w:cs="The Wave Sans TT" w:eastAsia="The Wave Sans TT" w:hAnsi="The Wave Sans TT"/>
          <w:i w:val="1"/>
          <w:sz w:val="21"/>
          <w:szCs w:val="21"/>
        </w:rPr>
      </w:pPr>
      <w:r w:rsidDel="00000000" w:rsidR="00000000" w:rsidRPr="00000000">
        <w:rPr>
          <w:rFonts w:ascii="The Wave Sans TT" w:cs="The Wave Sans TT" w:eastAsia="The Wave Sans TT" w:hAnsi="The Wave Sans TT"/>
          <w:i w:val="1"/>
          <w:sz w:val="21"/>
          <w:szCs w:val="21"/>
          <w:rtl w:val="0"/>
        </w:rPr>
        <w:t xml:space="preserve">Σημαντική έμφαση έχει δοθεί στην ανάπτυξη δραστηριοτήτων σε αγορές εκτός Ελλάδας, είτε με τοπική παρουσία, είτε μέσω της αύξησης των εξαγωγών και την ενίσχυση της διεθνούς εμπορίας. Σε θέματα ΑΠΕ είμαστε πιο προσεκτικοί, καθώς τα προβλήματα διαθεσιμότητας ηλεκτρικού χώρου στα δίκτυα, αλλά και στις τεχνολογίες αποθήκευσης, εξακολουθούν να παραμένουν άλυτα. Παρόλα αυτά, ωριμάζουμε το χαρτοφυλάκιό μας, το οποίο ανέρχεται σε </w:t>
      </w:r>
      <w:r w:rsidDel="00000000" w:rsidR="00000000" w:rsidRPr="00000000">
        <w:rPr>
          <w:rFonts w:ascii="The Wave Sans TT" w:cs="The Wave Sans TT" w:eastAsia="The Wave Sans TT" w:hAnsi="The Wave Sans TT"/>
          <w:b w:val="1"/>
          <w:i w:val="1"/>
          <w:sz w:val="21"/>
          <w:szCs w:val="21"/>
          <w:rtl w:val="0"/>
        </w:rPr>
        <w:t xml:space="preserve">4,3 GW και προσβλέπουμε σε λειτουργία 1 GW στους επόμενους 18 μήνες.</w:t>
      </w:r>
      <w:r w:rsidDel="00000000" w:rsidR="00000000" w:rsidRPr="00000000">
        <w:rPr>
          <w:rtl w:val="0"/>
        </w:rPr>
      </w:r>
    </w:p>
    <w:p w:rsidR="00000000" w:rsidDel="00000000" w:rsidP="00000000" w:rsidRDefault="00000000" w:rsidRPr="00000000" w14:paraId="00000036">
      <w:pPr>
        <w:widowControl w:val="0"/>
        <w:spacing w:after="120" w:lineRule="auto"/>
        <w:ind w:right="26"/>
        <w:rPr>
          <w:rFonts w:ascii="The Wave Sans TT" w:cs="The Wave Sans TT" w:eastAsia="The Wave Sans TT" w:hAnsi="The Wave Sans TT"/>
          <w:i w:val="1"/>
          <w:sz w:val="21"/>
          <w:szCs w:val="21"/>
        </w:rPr>
      </w:pPr>
      <w:r w:rsidDel="00000000" w:rsidR="00000000" w:rsidRPr="00000000">
        <w:rPr>
          <w:rFonts w:ascii="The Wave Sans TT" w:cs="The Wave Sans TT" w:eastAsia="The Wave Sans TT" w:hAnsi="The Wave Sans TT"/>
          <w:i w:val="1"/>
          <w:sz w:val="21"/>
          <w:szCs w:val="21"/>
          <w:rtl w:val="0"/>
        </w:rPr>
        <w:t xml:space="preserve">Όσον αφορά στο επόμενο διάστημα, το Β’ Τρίμηνο 2024 τα περιθώρια διύλισης, αν και χαμηλότερα σε σχέση με το Α’ Τρίμηνο του έτους, βρίσκονται σε θετικό έδαφος. Η ζήτηση στην εσωτερική αγορά παραμένει ισχυρή, ιδιαίτερα για τα καύσιμα κίνησης, ενώ οι προοπτικές ενόψει και της τουριστικής περιόδου εμφανίζονται ιδιαίτερα θετικές.»</w:t>
      </w:r>
    </w:p>
    <w:p w:rsidR="00000000" w:rsidDel="00000000" w:rsidP="00000000" w:rsidRDefault="00000000" w:rsidRPr="00000000" w14:paraId="00000037">
      <w:pPr>
        <w:spacing w:after="0" w:line="240" w:lineRule="auto"/>
        <w:rPr>
          <w:rFonts w:ascii="The Wave Sans TT" w:cs="The Wave Sans TT" w:eastAsia="The Wave Sans TT" w:hAnsi="The Wave Sans TT"/>
          <w:sz w:val="21"/>
          <w:szCs w:val="21"/>
          <w:u w:val="single"/>
        </w:rPr>
      </w:pPr>
      <w:r w:rsidDel="00000000" w:rsidR="00000000" w:rsidRPr="00000000">
        <w:rPr>
          <w:rtl w:val="0"/>
        </w:rPr>
      </w:r>
    </w:p>
    <w:p w:rsidR="00000000" w:rsidDel="00000000" w:rsidP="00000000" w:rsidRDefault="00000000" w:rsidRPr="00000000" w14:paraId="00000038">
      <w:pPr>
        <w:spacing w:after="0" w:line="240" w:lineRule="auto"/>
        <w:rPr>
          <w:rFonts w:ascii="The Wave Sans TT" w:cs="The Wave Sans TT" w:eastAsia="The Wave Sans TT" w:hAnsi="The Wave Sans TT"/>
          <w:sz w:val="21"/>
          <w:szCs w:val="21"/>
          <w:u w:val="single"/>
        </w:rPr>
      </w:pPr>
      <w:r w:rsidDel="00000000" w:rsidR="00000000" w:rsidRPr="00000000">
        <w:rPr>
          <w:rtl w:val="0"/>
        </w:rPr>
      </w:r>
    </w:p>
    <w:p w:rsidR="00000000" w:rsidDel="00000000" w:rsidP="00000000" w:rsidRDefault="00000000" w:rsidRPr="00000000" w14:paraId="00000039">
      <w:pPr>
        <w:spacing w:after="0" w:line="240" w:lineRule="auto"/>
        <w:rPr>
          <w:rFonts w:ascii="The Wave Sans TT" w:cs="The Wave Sans TT" w:eastAsia="The Wave Sans TT" w:hAnsi="The Wave Sans TT"/>
          <w:sz w:val="21"/>
          <w:szCs w:val="21"/>
          <w:u w:val="single"/>
        </w:rPr>
      </w:pPr>
      <w:r w:rsidDel="00000000" w:rsidR="00000000" w:rsidRPr="00000000">
        <w:rPr>
          <w:rtl w:val="0"/>
        </w:rPr>
      </w:r>
    </w:p>
    <w:p w:rsidR="00000000" w:rsidDel="00000000" w:rsidP="00000000" w:rsidRDefault="00000000" w:rsidRPr="00000000" w14:paraId="0000003A">
      <w:pPr>
        <w:spacing w:after="0" w:line="240" w:lineRule="auto"/>
        <w:rPr>
          <w:rFonts w:ascii="The Wave Sans TT" w:cs="The Wave Sans TT" w:eastAsia="The Wave Sans TT" w:hAnsi="The Wave Sans TT"/>
          <w:sz w:val="21"/>
          <w:szCs w:val="21"/>
          <w:u w:val="single"/>
        </w:rPr>
      </w:pPr>
      <w:r w:rsidDel="00000000" w:rsidR="00000000" w:rsidRPr="00000000">
        <w:rPr>
          <w:rtl w:val="0"/>
        </w:rPr>
      </w:r>
    </w:p>
    <w:p w:rsidR="00000000" w:rsidDel="00000000" w:rsidP="00000000" w:rsidRDefault="00000000" w:rsidRPr="00000000" w14:paraId="0000003B">
      <w:pPr>
        <w:spacing w:after="0" w:line="240" w:lineRule="auto"/>
        <w:rPr>
          <w:rFonts w:ascii="The Wave Sans TT" w:cs="The Wave Sans TT" w:eastAsia="The Wave Sans TT" w:hAnsi="The Wave Sans TT"/>
          <w:sz w:val="21"/>
          <w:szCs w:val="21"/>
          <w:u w:val="single"/>
        </w:rPr>
      </w:pPr>
      <w:r w:rsidDel="00000000" w:rsidR="00000000" w:rsidRPr="00000000">
        <w:rPr>
          <w:rFonts w:ascii="The Wave Sans TT" w:cs="The Wave Sans TT" w:eastAsia="The Wave Sans TT" w:hAnsi="The Wave Sans TT"/>
          <w:sz w:val="21"/>
          <w:szCs w:val="21"/>
          <w:u w:val="single"/>
          <w:rtl w:val="0"/>
        </w:rPr>
        <w:t xml:space="preserve">Κύρια σημεία των αποτελεσμάτων A’ Τριμήνου 2024 για τις επιμέρους επιχειρηματικές δραστηριότητες, αναφέρονται στη συνέχεια:</w:t>
      </w:r>
    </w:p>
    <w:p w:rsidR="00000000" w:rsidDel="00000000" w:rsidP="00000000" w:rsidRDefault="00000000" w:rsidRPr="00000000" w14:paraId="0000003C">
      <w:pPr>
        <w:widowControl w:val="0"/>
        <w:spacing w:after="120" w:lineRule="auto"/>
        <w:ind w:right="23"/>
        <w:rPr>
          <w:rFonts w:ascii="The Wave Sans TT" w:cs="The Wave Sans TT" w:eastAsia="The Wave Sans TT" w:hAnsi="The Wave Sans TT"/>
          <w:b w:val="1"/>
          <w:color w:val="ff0000"/>
          <w:sz w:val="21"/>
          <w:szCs w:val="21"/>
          <w:u w:val="single"/>
        </w:rPr>
      </w:pPr>
      <w:r w:rsidDel="00000000" w:rsidR="00000000" w:rsidRPr="00000000">
        <w:rPr>
          <w:rtl w:val="0"/>
        </w:rPr>
      </w:r>
    </w:p>
    <w:p w:rsidR="00000000" w:rsidDel="00000000" w:rsidP="00000000" w:rsidRDefault="00000000" w:rsidRPr="00000000" w14:paraId="0000003D">
      <w:pPr>
        <w:widowControl w:val="0"/>
        <w:spacing w:after="120" w:lineRule="auto"/>
        <w:ind w:right="23"/>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Διύλιση, Εφοδιασμός &amp; Εμπορία</w:t>
      </w:r>
    </w:p>
    <w:p w:rsidR="00000000" w:rsidDel="00000000" w:rsidP="00000000" w:rsidRDefault="00000000" w:rsidRPr="00000000" w14:paraId="0000003E">
      <w:pPr>
        <w:widowControl w:val="0"/>
        <w:numPr>
          <w:ilvl w:val="0"/>
          <w:numId w:val="2"/>
        </w:numPr>
        <w:spacing w:after="120" w:lineRule="auto"/>
        <w:ind w:left="360" w:right="23" w:hanging="360"/>
        <w:rPr>
          <w:b w:val="1"/>
        </w:rPr>
      </w:pPr>
      <w:r w:rsidDel="00000000" w:rsidR="00000000" w:rsidRPr="00000000">
        <w:rPr>
          <w:rFonts w:ascii="The Wave Sans TT" w:cs="The Wave Sans TT" w:eastAsia="The Wave Sans TT" w:hAnsi="The Wave Sans TT"/>
          <w:sz w:val="21"/>
          <w:szCs w:val="21"/>
          <w:rtl w:val="0"/>
        </w:rPr>
        <w:t xml:space="preserve">Τα Συγκρίσιμα Κέρδη EBITDA του κλάδου Διύλισης, Εφοδιασμού και Εμπορίας, ανήλθαν στα €289 εκατ.. Συνέβαλαν, οι αυξημένες πωλήσεις (+8%) λόγω βελτιωμένης διαθεσιμότητας και παραγωγής από τα 3 διυλιστήρια, τα ικανοποιητικά περιθώρια διύλισης και η υπεραπόδοση του συστήματος σε σχέση με τα ενδεικτικά περιθώρια.</w:t>
      </w:r>
      <w:r w:rsidDel="00000000" w:rsidR="00000000" w:rsidRPr="00000000">
        <w:rPr>
          <w:rtl w:val="0"/>
        </w:rPr>
      </w:r>
    </w:p>
    <w:p w:rsidR="00000000" w:rsidDel="00000000" w:rsidP="00000000" w:rsidRDefault="00000000" w:rsidRPr="00000000" w14:paraId="0000003F">
      <w:pPr>
        <w:widowControl w:val="0"/>
        <w:numPr>
          <w:ilvl w:val="0"/>
          <w:numId w:val="2"/>
        </w:numPr>
        <w:spacing w:after="120" w:lineRule="auto"/>
        <w:ind w:left="360" w:right="23" w:hanging="360"/>
        <w:rPr>
          <w:b w:val="1"/>
        </w:rPr>
      </w:pPr>
      <w:r w:rsidDel="00000000" w:rsidR="00000000" w:rsidRPr="00000000">
        <w:rPr>
          <w:rFonts w:ascii="The Wave Sans TT" w:cs="The Wave Sans TT" w:eastAsia="The Wave Sans TT" w:hAnsi="The Wave Sans TT"/>
          <w:sz w:val="21"/>
          <w:szCs w:val="21"/>
          <w:rtl w:val="0"/>
        </w:rPr>
        <w:t xml:space="preserve">Η παραγωγή προϊόντων ανήλθε στους 3,8 εκατ. τόνους, +5% σε σχέση με το Α’ Τρίμηνο 2023, ενώ η συνεισφορά των υψηλής προστιθέμενης αξίας προϊόντων στο μείγμα παραγωγής διατηρήθηκε άνω του 80%.</w:t>
      </w:r>
      <w:r w:rsidDel="00000000" w:rsidR="00000000" w:rsidRPr="00000000">
        <w:rPr>
          <w:rtl w:val="0"/>
        </w:rPr>
      </w:r>
    </w:p>
    <w:p w:rsidR="00000000" w:rsidDel="00000000" w:rsidP="00000000" w:rsidRDefault="00000000" w:rsidRPr="00000000" w14:paraId="00000040">
      <w:pPr>
        <w:widowControl w:val="0"/>
        <w:spacing w:after="120" w:lineRule="auto"/>
        <w:ind w:left="360" w:right="23" w:firstLine="0"/>
        <w:rPr>
          <w:rFonts w:ascii="The Wave Sans TT" w:cs="The Wave Sans TT" w:eastAsia="The Wave Sans TT" w:hAnsi="The Wave Sans TT"/>
          <w:b w:val="1"/>
          <w:color w:val="ff0000"/>
          <w:sz w:val="21"/>
          <w:szCs w:val="21"/>
        </w:rPr>
      </w:pPr>
      <w:r w:rsidDel="00000000" w:rsidR="00000000" w:rsidRPr="00000000">
        <w:rPr>
          <w:rtl w:val="0"/>
        </w:rPr>
      </w:r>
    </w:p>
    <w:p w:rsidR="00000000" w:rsidDel="00000000" w:rsidP="00000000" w:rsidRDefault="00000000" w:rsidRPr="00000000" w14:paraId="00000041">
      <w:pPr>
        <w:widowControl w:val="0"/>
        <w:spacing w:after="120" w:lineRule="auto"/>
        <w:ind w:right="23"/>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Πετροχημικά</w:t>
      </w:r>
    </w:p>
    <w:p w:rsidR="00000000" w:rsidDel="00000000" w:rsidP="00000000" w:rsidRDefault="00000000" w:rsidRPr="00000000" w14:paraId="00000042">
      <w:pPr>
        <w:widowControl w:val="0"/>
        <w:numPr>
          <w:ilvl w:val="0"/>
          <w:numId w:val="2"/>
        </w:numPr>
        <w:spacing w:after="120" w:lineRule="auto"/>
        <w:ind w:left="360" w:right="23" w:hanging="360"/>
        <w:rPr/>
      </w:pPr>
      <w:r w:rsidDel="00000000" w:rsidR="00000000" w:rsidRPr="00000000">
        <w:rPr>
          <w:rFonts w:ascii="The Wave Sans TT" w:cs="The Wave Sans TT" w:eastAsia="The Wave Sans TT" w:hAnsi="The Wave Sans TT"/>
          <w:sz w:val="21"/>
          <w:szCs w:val="21"/>
          <w:rtl w:val="0"/>
        </w:rPr>
        <w:t xml:space="preserve">Τα Συγκρίσιμα Κέρδη EBITDA του κλάδου Πετροχημικών βελτιώθηκαν κατά 56% το Α’ Τρίμηνο 2024 και διαμορφώθηκαν στα €23 εκατ., λόγω υψηλότερων πωλήσεων και ανάκαμψης των περιθωρίων πολυπροπυλενίου.</w:t>
      </w:r>
    </w:p>
    <w:p w:rsidR="00000000" w:rsidDel="00000000" w:rsidP="00000000" w:rsidRDefault="00000000" w:rsidRPr="00000000" w14:paraId="00000043">
      <w:pPr>
        <w:widowControl w:val="0"/>
        <w:spacing w:after="120" w:lineRule="auto"/>
        <w:ind w:left="360" w:right="23" w:firstLine="0"/>
        <w:rPr>
          <w:rFonts w:ascii="The Wave Sans TT" w:cs="The Wave Sans TT" w:eastAsia="The Wave Sans TT" w:hAnsi="The Wave Sans TT"/>
          <w:color w:val="ff0000"/>
          <w:sz w:val="21"/>
          <w:szCs w:val="21"/>
        </w:rPr>
      </w:pPr>
      <w:r w:rsidDel="00000000" w:rsidR="00000000" w:rsidRPr="00000000">
        <w:rPr>
          <w:rtl w:val="0"/>
        </w:rPr>
      </w:r>
    </w:p>
    <w:p w:rsidR="00000000" w:rsidDel="00000000" w:rsidP="00000000" w:rsidRDefault="00000000" w:rsidRPr="00000000" w14:paraId="00000044">
      <w:pPr>
        <w:widowControl w:val="0"/>
        <w:spacing w:after="120" w:lineRule="auto"/>
        <w:ind w:right="23"/>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Εμπορία</w:t>
      </w:r>
    </w:p>
    <w:p w:rsidR="00000000" w:rsidDel="00000000" w:rsidP="00000000" w:rsidRDefault="00000000" w:rsidRPr="00000000" w14:paraId="00000045">
      <w:pPr>
        <w:widowControl w:val="0"/>
        <w:numPr>
          <w:ilvl w:val="0"/>
          <w:numId w:val="2"/>
        </w:numPr>
        <w:spacing w:after="120" w:lineRule="auto"/>
        <w:ind w:left="360" w:right="23" w:hanging="360"/>
        <w:rPr/>
      </w:pPr>
      <w:r w:rsidDel="00000000" w:rsidR="00000000" w:rsidRPr="00000000">
        <w:rPr>
          <w:rFonts w:ascii="The Wave Sans TT" w:cs="The Wave Sans TT" w:eastAsia="The Wave Sans TT" w:hAnsi="The Wave Sans TT"/>
          <w:sz w:val="21"/>
          <w:szCs w:val="21"/>
          <w:rtl w:val="0"/>
        </w:rPr>
        <w:t xml:space="preserve">Ο κλάδος της Εγχώριας Εμπορίας στο Α’ Τρίμηνο 2024 κατέγραψε υψηλότερες πωλήσεις κατά 2%, με βελτίωση των μεριδίων αγοράς, ενώ αυξημένη ήταν η συνεισφορά, για άλλο ένα τρίμηνο, από τα διαφοροποιημένα καύσιμα. Παράλληλα, οι πωλήσεις καυσίμων αεροπορίας αυξήθηκαν κατά 21%, ενώ η ναυτιλία κινήθηκε σε σταθεροποιητική τάση. Η κερδοφορία βελτιώθηκε επικουρούμενη και από κέρδη αποτίμησης αποθεμάτων, ενώ οι κανονιστικοί περιορισμοί στο μεικτό περιθώριο λιανικής συνεχίζουν να παραμένουν σε ισχύ. </w:t>
      </w:r>
    </w:p>
    <w:p w:rsidR="00000000" w:rsidDel="00000000" w:rsidP="00000000" w:rsidRDefault="00000000" w:rsidRPr="00000000" w14:paraId="00000046">
      <w:pPr>
        <w:widowControl w:val="0"/>
        <w:numPr>
          <w:ilvl w:val="0"/>
          <w:numId w:val="2"/>
        </w:numPr>
        <w:spacing w:after="120" w:lineRule="auto"/>
        <w:ind w:left="360" w:right="23" w:hanging="360"/>
        <w:rPr>
          <w:b w:val="1"/>
        </w:rPr>
      </w:pPr>
      <w:r w:rsidDel="00000000" w:rsidR="00000000" w:rsidRPr="00000000">
        <w:rPr>
          <w:rFonts w:ascii="The Wave Sans TT" w:cs="The Wave Sans TT" w:eastAsia="The Wave Sans TT" w:hAnsi="The Wave Sans TT"/>
          <w:sz w:val="21"/>
          <w:szCs w:val="21"/>
          <w:rtl w:val="0"/>
        </w:rPr>
        <w:t xml:space="preserve">Ο κλάδος της Διεθνούς Εμπορίας κατέγραψε βελτιωμένες επιδόσεις, με αυξημένες πωλήσεις στη λιανική αγορά, βελτιωμένα μερίδια αγοράς, καθώς και ανοδική διείσδυση διαφοροποιημένων καυσίμων. Η κερδοφορία επηρεάστηκε κυρίως από κόστη που σχετίζονται με την επέκταση του δικτύου.</w:t>
      </w:r>
      <w:r w:rsidDel="00000000" w:rsidR="00000000" w:rsidRPr="00000000">
        <w:rPr>
          <w:rtl w:val="0"/>
        </w:rPr>
      </w:r>
    </w:p>
    <w:p w:rsidR="00000000" w:rsidDel="00000000" w:rsidP="00000000" w:rsidRDefault="00000000" w:rsidRPr="00000000" w14:paraId="00000047">
      <w:pPr>
        <w:widowControl w:val="0"/>
        <w:spacing w:after="120" w:lineRule="auto"/>
        <w:ind w:left="360" w:right="23" w:firstLine="0"/>
        <w:rPr>
          <w:rFonts w:ascii="The Wave Sans TT" w:cs="The Wave Sans TT" w:eastAsia="The Wave Sans TT" w:hAnsi="The Wave Sans TT"/>
          <w:b w:val="1"/>
          <w:sz w:val="21"/>
          <w:szCs w:val="21"/>
        </w:rPr>
      </w:pPr>
      <w:r w:rsidDel="00000000" w:rsidR="00000000" w:rsidRPr="00000000">
        <w:rPr>
          <w:rtl w:val="0"/>
        </w:rPr>
      </w:r>
    </w:p>
    <w:p w:rsidR="00000000" w:rsidDel="00000000" w:rsidP="00000000" w:rsidRDefault="00000000" w:rsidRPr="00000000" w14:paraId="00000048">
      <w:pPr>
        <w:widowControl w:val="0"/>
        <w:spacing w:after="120" w:lineRule="auto"/>
        <w:ind w:right="23"/>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ΑΠΕ</w:t>
      </w:r>
    </w:p>
    <w:p w:rsidR="00000000" w:rsidDel="00000000" w:rsidP="00000000" w:rsidRDefault="00000000" w:rsidRPr="00000000" w14:paraId="00000049">
      <w:pPr>
        <w:widowControl w:val="0"/>
        <w:numPr>
          <w:ilvl w:val="0"/>
          <w:numId w:val="2"/>
        </w:numPr>
        <w:spacing w:after="120" w:lineRule="auto"/>
        <w:ind w:left="360" w:right="23" w:hanging="360"/>
        <w:rPr/>
      </w:pPr>
      <w:r w:rsidDel="00000000" w:rsidR="00000000" w:rsidRPr="00000000">
        <w:rPr>
          <w:rFonts w:ascii="The Wave Sans TT" w:cs="The Wave Sans TT" w:eastAsia="The Wave Sans TT" w:hAnsi="The Wave Sans TT"/>
          <w:sz w:val="21"/>
          <w:szCs w:val="21"/>
          <w:rtl w:val="0"/>
        </w:rPr>
        <w:t xml:space="preserve">Τα Κέρδη EBITDA του κλάδου ΑΠΕ ανήλθαν στα €11 εκατ. για το Α’ Τρίμηνο 2024. Η παραγωγή ενέργειας παρέμεινε στα ίδια με τα περσινά επίπεδα, ενώ η εγκατεστημένη ισχύς διαμορφώθηκε στα 381 MW (+40 MW σε σχέση με την αντίστοιχη περσινή περίοδο), καθώς στο τέλος του Α’ Τριμήνου προστέθηκαν 26 MW φωτοβολταϊκών πάρκων στην Κύπρο.  </w:t>
      </w:r>
    </w:p>
    <w:p w:rsidR="00000000" w:rsidDel="00000000" w:rsidP="00000000" w:rsidRDefault="00000000" w:rsidRPr="00000000" w14:paraId="0000004A">
      <w:pPr>
        <w:widowControl w:val="0"/>
        <w:spacing w:after="120" w:lineRule="auto"/>
        <w:ind w:right="23"/>
        <w:rPr>
          <w:rFonts w:ascii="The Wave Sans TT" w:cs="The Wave Sans TT" w:eastAsia="The Wave Sans TT" w:hAnsi="The Wave Sans TT"/>
          <w:b w:val="1"/>
          <w:sz w:val="21"/>
          <w:szCs w:val="21"/>
        </w:rPr>
      </w:pPr>
      <w:r w:rsidDel="00000000" w:rsidR="00000000" w:rsidRPr="00000000">
        <w:rPr>
          <w:rtl w:val="0"/>
        </w:rPr>
      </w:r>
    </w:p>
    <w:p w:rsidR="00000000" w:rsidDel="00000000" w:rsidP="00000000" w:rsidRDefault="00000000" w:rsidRPr="00000000" w14:paraId="0000004B">
      <w:pPr>
        <w:widowControl w:val="0"/>
        <w:spacing w:after="120" w:lineRule="auto"/>
        <w:ind w:right="23"/>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Συμμετοχές</w:t>
      </w:r>
    </w:p>
    <w:p w:rsidR="00000000" w:rsidDel="00000000" w:rsidP="00000000" w:rsidRDefault="00000000" w:rsidRPr="00000000" w14:paraId="0000004C">
      <w:pPr>
        <w:widowControl w:val="0"/>
        <w:numPr>
          <w:ilvl w:val="0"/>
          <w:numId w:val="2"/>
        </w:numPr>
        <w:spacing w:after="120" w:lineRule="auto"/>
        <w:ind w:left="360" w:right="23" w:hanging="360"/>
        <w:rPr/>
      </w:pPr>
      <w:r w:rsidDel="00000000" w:rsidR="00000000" w:rsidRPr="00000000">
        <w:rPr>
          <w:rFonts w:ascii="The Wave Sans TT" w:cs="The Wave Sans TT" w:eastAsia="The Wave Sans TT" w:hAnsi="The Wave Sans TT"/>
          <w:sz w:val="21"/>
          <w:szCs w:val="21"/>
          <w:rtl w:val="0"/>
        </w:rPr>
        <w:t xml:space="preserve">Η συνεισφορά των κοινοπραξιών και συγγενών επιχειρήσεων που ενοποιούνται με τη μέθοδο της καθαρής θέσης στον κλάδο ηλεκτρισμού και φυσικού αερίου για το Α’ Τρίμηνο 2024 ήταν αρνητική και διαμορφώθηκε σε €-4 εκατ., σε σχέση με €31 εκατ. αντίστοιχου τριμήνου το 2023. </w:t>
      </w:r>
    </w:p>
    <w:p w:rsidR="00000000" w:rsidDel="00000000" w:rsidP="00000000" w:rsidRDefault="00000000" w:rsidRPr="00000000" w14:paraId="0000004D">
      <w:pPr>
        <w:widowControl w:val="0"/>
        <w:numPr>
          <w:ilvl w:val="0"/>
          <w:numId w:val="2"/>
        </w:numPr>
        <w:spacing w:after="120" w:lineRule="auto"/>
        <w:ind w:left="360" w:right="23" w:hanging="360"/>
        <w:rPr/>
      </w:pPr>
      <w:r w:rsidDel="00000000" w:rsidR="00000000" w:rsidRPr="00000000">
        <w:rPr>
          <w:rFonts w:ascii="The Wave Sans TT" w:cs="The Wave Sans TT" w:eastAsia="The Wave Sans TT" w:hAnsi="The Wave Sans TT"/>
          <w:sz w:val="21"/>
          <w:szCs w:val="21"/>
          <w:rtl w:val="0"/>
        </w:rPr>
        <w:t xml:space="preserve">Η κερδοφορία της Elpedison επηρεάστηκε αρνητικά από την περιορισμένη διαθεσιμότητα του εργοστασίου της Θίσβης και τις μειωμένες τιμές ηλεκτρικής ενέργειας στη χονδρεμπορική αγορά. Το εργοστάσιο της Θίσβης επανήλθε σε φυσιολογική λειτουργία στο τέλος του Α’ Τριμήνου 2024, αρκετά νωρίτερα από την προγραμματισμένη ημερομηνία.</w:t>
      </w:r>
    </w:p>
    <w:p w:rsidR="00000000" w:rsidDel="00000000" w:rsidP="00000000" w:rsidRDefault="00000000" w:rsidRPr="00000000" w14:paraId="0000004E">
      <w:pPr>
        <w:widowControl w:val="0"/>
        <w:spacing w:after="120" w:lineRule="auto"/>
        <w:ind w:right="23"/>
        <w:rPr>
          <w:rFonts w:ascii="The Wave Sans TT" w:cs="The Wave Sans TT" w:eastAsia="The Wave Sans TT" w:hAnsi="The Wave Sans TT"/>
          <w:sz w:val="21"/>
          <w:szCs w:val="21"/>
        </w:rPr>
      </w:pPr>
      <w:r w:rsidDel="00000000" w:rsidR="00000000" w:rsidRPr="00000000">
        <w:rPr>
          <w:rtl w:val="0"/>
        </w:rPr>
      </w:r>
    </w:p>
    <w:p w:rsidR="00000000" w:rsidDel="00000000" w:rsidP="00000000" w:rsidRDefault="00000000" w:rsidRPr="00000000" w14:paraId="0000004F">
      <w:pPr>
        <w:widowControl w:val="0"/>
        <w:spacing w:after="120" w:lineRule="auto"/>
        <w:ind w:right="23"/>
        <w:rPr>
          <w:rFonts w:ascii="The Wave Sans TT" w:cs="The Wave Sans TT" w:eastAsia="The Wave Sans TT" w:hAnsi="The Wave Sans TT"/>
          <w:sz w:val="21"/>
          <w:szCs w:val="21"/>
        </w:rPr>
      </w:pPr>
      <w:r w:rsidDel="00000000" w:rsidR="00000000" w:rsidRPr="00000000">
        <w:rPr>
          <w:rtl w:val="0"/>
        </w:rPr>
      </w:r>
    </w:p>
    <w:p w:rsidR="00000000" w:rsidDel="00000000" w:rsidP="00000000" w:rsidRDefault="00000000" w:rsidRPr="00000000" w14:paraId="00000050">
      <w:pPr>
        <w:widowControl w:val="0"/>
        <w:spacing w:after="120" w:lineRule="auto"/>
        <w:ind w:right="23"/>
        <w:rPr>
          <w:rFonts w:ascii="The Wave Sans TT" w:cs="The Wave Sans TT" w:eastAsia="The Wave Sans TT" w:hAnsi="The Wave Sans TT"/>
          <w:sz w:val="21"/>
          <w:szCs w:val="21"/>
        </w:rPr>
      </w:pPr>
      <w:r w:rsidDel="00000000" w:rsidR="00000000" w:rsidRPr="00000000">
        <w:rPr>
          <w:rtl w:val="0"/>
        </w:rPr>
      </w:r>
    </w:p>
    <w:p w:rsidR="00000000" w:rsidDel="00000000" w:rsidP="00000000" w:rsidRDefault="00000000" w:rsidRPr="00000000" w14:paraId="00000051">
      <w:pPr>
        <w:widowControl w:val="0"/>
        <w:spacing w:after="120" w:lineRule="auto"/>
        <w:ind w:right="23"/>
        <w:rPr>
          <w:rFonts w:ascii="The Wave Sans TT" w:cs="The Wave Sans TT" w:eastAsia="The Wave Sans TT" w:hAnsi="The Wave Sans TT"/>
          <w:sz w:val="21"/>
          <w:szCs w:val="21"/>
        </w:rPr>
      </w:pPr>
      <w:r w:rsidDel="00000000" w:rsidR="00000000" w:rsidRPr="00000000">
        <w:rPr>
          <w:rtl w:val="0"/>
        </w:rPr>
      </w:r>
    </w:p>
    <w:p w:rsidR="00000000" w:rsidDel="00000000" w:rsidP="00000000" w:rsidRDefault="00000000" w:rsidRPr="00000000" w14:paraId="00000052">
      <w:pPr>
        <w:widowControl w:val="0"/>
        <w:spacing w:after="120" w:lineRule="auto"/>
        <w:ind w:right="23"/>
        <w:rPr>
          <w:rFonts w:ascii="The Wave Sans TT" w:cs="The Wave Sans TT" w:eastAsia="The Wave Sans TT" w:hAnsi="The Wave Sans TT"/>
          <w:sz w:val="21"/>
          <w:szCs w:val="21"/>
        </w:rPr>
      </w:pPr>
      <w:r w:rsidDel="00000000" w:rsidR="00000000" w:rsidRPr="00000000">
        <w:rPr>
          <w:rtl w:val="0"/>
        </w:rPr>
      </w:r>
    </w:p>
    <w:p w:rsidR="00000000" w:rsidDel="00000000" w:rsidP="00000000" w:rsidRDefault="00000000" w:rsidRPr="00000000" w14:paraId="00000053">
      <w:pPr>
        <w:widowControl w:val="0"/>
        <w:spacing w:after="120" w:lineRule="auto"/>
        <w:ind w:right="23"/>
        <w:rPr>
          <w:rFonts w:ascii="The Wave Sans TT" w:cs="The Wave Sans TT" w:eastAsia="The Wave Sans TT" w:hAnsi="The Wave Sans TT"/>
          <w:sz w:val="21"/>
          <w:szCs w:val="21"/>
        </w:rPr>
      </w:pPr>
      <w:r w:rsidDel="00000000" w:rsidR="00000000" w:rsidRPr="00000000">
        <w:rPr>
          <w:rtl w:val="0"/>
        </w:rPr>
      </w:r>
    </w:p>
    <w:p w:rsidR="00000000" w:rsidDel="00000000" w:rsidP="00000000" w:rsidRDefault="00000000" w:rsidRPr="00000000" w14:paraId="00000054">
      <w:pPr>
        <w:widowControl w:val="0"/>
        <w:spacing w:after="120" w:lineRule="auto"/>
        <w:ind w:left="360" w:right="23" w:firstLine="0"/>
        <w:rPr>
          <w:rFonts w:ascii="The Wave Sans TT" w:cs="The Wave Sans TT" w:eastAsia="The Wave Sans TT" w:hAnsi="The Wave Sans TT"/>
          <w:sz w:val="21"/>
          <w:szCs w:val="21"/>
        </w:rPr>
      </w:pPr>
      <w:r w:rsidDel="00000000" w:rsidR="00000000" w:rsidRPr="00000000">
        <w:rPr>
          <w:rtl w:val="0"/>
        </w:rPr>
      </w:r>
    </w:p>
    <w:p w:rsidR="00000000" w:rsidDel="00000000" w:rsidP="00000000" w:rsidRDefault="00000000" w:rsidRPr="00000000" w14:paraId="00000055">
      <w:pPr>
        <w:widowControl w:val="0"/>
        <w:spacing w:after="120" w:lineRule="auto"/>
        <w:ind w:left="360" w:right="23" w:firstLine="0"/>
        <w:rPr>
          <w:rFonts w:ascii="The Wave Sans TT" w:cs="The Wave Sans TT" w:eastAsia="The Wave Sans TT" w:hAnsi="The Wave Sans TT"/>
          <w:color w:val="ff0000"/>
          <w:sz w:val="21"/>
          <w:szCs w:val="21"/>
        </w:rPr>
      </w:pPr>
      <w:r w:rsidDel="00000000" w:rsidR="00000000" w:rsidRPr="00000000">
        <w:rPr>
          <w:rtl w:val="0"/>
        </w:rPr>
      </w:r>
    </w:p>
    <w:p w:rsidR="00000000" w:rsidDel="00000000" w:rsidP="00000000" w:rsidRDefault="00000000" w:rsidRPr="00000000" w14:paraId="00000056">
      <w:pPr>
        <w:spacing w:after="0" w:line="240" w:lineRule="auto"/>
        <w:rPr>
          <w:rFonts w:ascii="The Wave Sans TT" w:cs="The Wave Sans TT" w:eastAsia="The Wave Sans TT" w:hAnsi="The Wave Sans TT"/>
          <w:b w:val="1"/>
          <w:sz w:val="21"/>
          <w:szCs w:val="21"/>
        </w:rPr>
      </w:pPr>
      <w:r w:rsidDel="00000000" w:rsidR="00000000" w:rsidRPr="00000000">
        <w:rPr>
          <w:rFonts w:ascii="The Wave Sans TT" w:cs="The Wave Sans TT" w:eastAsia="The Wave Sans TT" w:hAnsi="The Wave Sans TT"/>
          <w:b w:val="1"/>
          <w:sz w:val="21"/>
          <w:szCs w:val="21"/>
          <w:rtl w:val="0"/>
        </w:rPr>
        <w:t xml:space="preserve">HELLENiQ ENERGY Holdings A.E.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e Wave Sans TT" w:cs="The Wave Sans TT" w:eastAsia="The Wave Sans TT" w:hAnsi="The Wave Sans TT"/>
          <w:b w:val="1"/>
          <w:i w:val="0"/>
          <w:smallCaps w:val="0"/>
          <w:strike w:val="0"/>
          <w:color w:val="000000"/>
          <w:sz w:val="21"/>
          <w:szCs w:val="21"/>
          <w:u w:val="none"/>
          <w:shd w:fill="auto" w:val="clear"/>
          <w:vertAlign w:val="baseline"/>
        </w:rPr>
      </w:pPr>
      <w:r w:rsidDel="00000000" w:rsidR="00000000" w:rsidRPr="00000000">
        <w:rPr>
          <w:rFonts w:ascii="The Wave Sans TT" w:cs="The Wave Sans TT" w:eastAsia="The Wave Sans TT" w:hAnsi="The Wave Sans TT"/>
          <w:b w:val="1"/>
          <w:i w:val="0"/>
          <w:smallCaps w:val="0"/>
          <w:strike w:val="0"/>
          <w:color w:val="000000"/>
          <w:sz w:val="21"/>
          <w:szCs w:val="21"/>
          <w:u w:val="none"/>
          <w:shd w:fill="auto" w:val="clear"/>
          <w:vertAlign w:val="baseline"/>
          <w:rtl w:val="0"/>
        </w:rPr>
        <w:t xml:space="preserve">Βασικά μεγέθη ενοποιημένων αποτελεσμάτων Χρήσης Α’ Τριμήνου 2024</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e Wave Sans TT" w:cs="The Wave Sans TT" w:eastAsia="The Wave Sans TT" w:hAnsi="The Wave Sans TT"/>
          <w:b w:val="0"/>
          <w:i w:val="0"/>
          <w:smallCaps w:val="0"/>
          <w:strike w:val="0"/>
          <w:color w:val="000000"/>
          <w:sz w:val="21"/>
          <w:szCs w:val="21"/>
          <w:u w:val="none"/>
          <w:shd w:fill="auto" w:val="clear"/>
          <w:vertAlign w:val="baseline"/>
        </w:rPr>
      </w:pPr>
      <w:r w:rsidDel="00000000" w:rsidR="00000000" w:rsidRPr="00000000">
        <w:rPr>
          <w:rFonts w:ascii="The Wave Sans TT" w:cs="The Wave Sans TT" w:eastAsia="The Wave Sans TT" w:hAnsi="The Wave Sans TT"/>
          <w:b w:val="0"/>
          <w:i w:val="0"/>
          <w:smallCaps w:val="0"/>
          <w:strike w:val="0"/>
          <w:color w:val="000000"/>
          <w:sz w:val="21"/>
          <w:szCs w:val="21"/>
          <w:u w:val="none"/>
          <w:shd w:fill="auto" w:val="clear"/>
          <w:vertAlign w:val="baseline"/>
          <w:rtl w:val="0"/>
        </w:rPr>
        <w:t xml:space="preserve">(σύμφωνα με τα Διεθνή Πρότυπα Χρηματοοικονομικής Πληροφόρησης)</w:t>
      </w:r>
    </w:p>
    <w:p w:rsidR="00000000" w:rsidDel="00000000" w:rsidP="00000000" w:rsidRDefault="00000000" w:rsidRPr="00000000" w14:paraId="00000059">
      <w:pPr>
        <w:spacing w:after="120" w:before="120" w:line="360" w:lineRule="auto"/>
        <w:ind w:right="187"/>
        <w:rPr>
          <w:rFonts w:ascii="The Wave Sans TT" w:cs="The Wave Sans TT" w:eastAsia="The Wave Sans TT" w:hAnsi="The Wave Sans TT"/>
          <w:i w:val="1"/>
          <w:sz w:val="16"/>
          <w:szCs w:val="16"/>
        </w:rPr>
      </w:pPr>
      <w:r w:rsidDel="00000000" w:rsidR="00000000" w:rsidRPr="00000000">
        <w:rPr>
          <w:rtl w:val="0"/>
        </w:rPr>
      </w:r>
    </w:p>
    <w:tbl>
      <w:tblPr>
        <w:tblStyle w:val="Table1"/>
        <w:tblW w:w="6077.0" w:type="dxa"/>
        <w:jc w:val="left"/>
        <w:tblInd w:w="1376.0" w:type="dxa"/>
        <w:tblBorders>
          <w:top w:color="000099" w:space="0" w:sz="4" w:val="single"/>
          <w:left w:color="000099" w:space="0" w:sz="4" w:val="single"/>
          <w:bottom w:color="000099" w:space="0" w:sz="4" w:val="single"/>
          <w:right w:color="000099" w:space="0" w:sz="4" w:val="single"/>
          <w:insideH w:color="0032a0" w:space="0" w:sz="4" w:val="single"/>
          <w:insideV w:color="0032a0" w:space="0" w:sz="4" w:val="single"/>
        </w:tblBorders>
        <w:tblLayout w:type="fixed"/>
        <w:tblLook w:val="0000"/>
      </w:tblPr>
      <w:tblGrid>
        <w:gridCol w:w="3415"/>
        <w:gridCol w:w="855"/>
        <w:gridCol w:w="855"/>
        <w:gridCol w:w="952"/>
        <w:tblGridChange w:id="0">
          <w:tblGrid>
            <w:gridCol w:w="3415"/>
            <w:gridCol w:w="855"/>
            <w:gridCol w:w="855"/>
            <w:gridCol w:w="952"/>
          </w:tblGrid>
        </w:tblGridChange>
      </w:tblGrid>
      <w:tr>
        <w:trPr>
          <w:cantSplit w:val="0"/>
          <w:trHeight w:val="432" w:hRule="atLeast"/>
          <w:tblHeader w:val="0"/>
        </w:trPr>
        <w:tc>
          <w:tcPr>
            <w:tcBorders>
              <w:top w:color="000099" w:space="0" w:sz="4" w:val="single"/>
              <w:left w:color="000099" w:space="0" w:sz="4" w:val="single"/>
              <w:bottom w:color="0032a0" w:space="0" w:sz="4" w:val="single"/>
              <w:right w:color="0032a0" w:space="0" w:sz="4" w:val="single"/>
            </w:tcBorders>
            <w:shd w:fill="0032a0" w:val="clear"/>
            <w:vAlign w:val="center"/>
          </w:tcPr>
          <w:p w:rsidR="00000000" w:rsidDel="00000000" w:rsidP="00000000" w:rsidRDefault="00000000" w:rsidRPr="00000000" w14:paraId="0000005A">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 εκατ.</w:t>
            </w:r>
          </w:p>
        </w:tc>
        <w:tc>
          <w:tcPr>
            <w:tcBorders>
              <w:top w:color="000099" w:space="0" w:sz="4" w:val="single"/>
              <w:left w:color="0032a0" w:space="0" w:sz="4" w:val="single"/>
              <w:bottom w:color="0032a0" w:space="0" w:sz="4" w:val="single"/>
              <w:right w:color="0032a0" w:space="0" w:sz="4" w:val="single"/>
            </w:tcBorders>
            <w:shd w:fill="0032a0" w:val="clear"/>
            <w:vAlign w:val="center"/>
          </w:tcPr>
          <w:p w:rsidR="00000000" w:rsidDel="00000000" w:rsidP="00000000" w:rsidRDefault="00000000" w:rsidRPr="00000000" w14:paraId="0000005B">
            <w:pPr>
              <w:spacing w:after="0" w:line="240" w:lineRule="auto"/>
              <w:jc w:val="right"/>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1Q23</w:t>
            </w:r>
          </w:p>
        </w:tc>
        <w:tc>
          <w:tcPr>
            <w:tcBorders>
              <w:top w:color="000099" w:space="0" w:sz="4" w:val="single"/>
              <w:left w:color="0032a0" w:space="0" w:sz="4" w:val="single"/>
              <w:bottom w:color="0032a0" w:space="0" w:sz="4" w:val="single"/>
              <w:right w:color="0032a0" w:space="0" w:sz="4" w:val="single"/>
            </w:tcBorders>
            <w:shd w:fill="0032a0" w:val="clear"/>
            <w:vAlign w:val="center"/>
          </w:tcPr>
          <w:p w:rsidR="00000000" w:rsidDel="00000000" w:rsidP="00000000" w:rsidRDefault="00000000" w:rsidRPr="00000000" w14:paraId="0000005C">
            <w:pPr>
              <w:spacing w:after="0" w:line="240" w:lineRule="auto"/>
              <w:jc w:val="right"/>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1Q24</w:t>
            </w:r>
          </w:p>
        </w:tc>
        <w:tc>
          <w:tcPr>
            <w:tcBorders>
              <w:top w:color="000099" w:space="0" w:sz="4" w:val="single"/>
              <w:left w:color="0032a0" w:space="0" w:sz="4" w:val="single"/>
              <w:bottom w:color="0032a0" w:space="0" w:sz="4" w:val="single"/>
              <w:right w:color="000099" w:space="0" w:sz="4" w:val="single"/>
            </w:tcBorders>
            <w:shd w:fill="0032a0" w:val="clear"/>
            <w:vAlign w:val="center"/>
          </w:tcPr>
          <w:p w:rsidR="00000000" w:rsidDel="00000000" w:rsidP="00000000" w:rsidRDefault="00000000" w:rsidRPr="00000000" w14:paraId="0000005D">
            <w:pPr>
              <w:spacing w:after="0" w:line="240" w:lineRule="auto"/>
              <w:jc w:val="right"/>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 Δ</w:t>
            </w:r>
          </w:p>
        </w:tc>
      </w:tr>
      <w:tr>
        <w:trPr>
          <w:cantSplit w:val="0"/>
          <w:trHeight w:val="432" w:hRule="atLeast"/>
          <w:tblHeader w:val="0"/>
        </w:trPr>
        <w:tc>
          <w:tcPr>
            <w:tcBorders>
              <w:top w:color="0032a0" w:space="0" w:sz="4" w:val="single"/>
              <w:left w:color="000099" w:space="0" w:sz="4" w:val="single"/>
              <w:bottom w:color="000000" w:space="0" w:sz="0" w:val="nil"/>
              <w:right w:color="000000" w:space="0" w:sz="0" w:val="nil"/>
            </w:tcBorders>
            <w:shd w:fill="e6e6eb" w:val="clear"/>
            <w:vAlign w:val="center"/>
          </w:tcPr>
          <w:p w:rsidR="00000000" w:rsidDel="00000000" w:rsidP="00000000" w:rsidRDefault="00000000" w:rsidRPr="00000000" w14:paraId="0000005E">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b w:val="1"/>
                <w:sz w:val="20"/>
                <w:szCs w:val="20"/>
                <w:rtl w:val="0"/>
              </w:rPr>
              <w:t xml:space="preserve">Στοιχεία αποτελεσμάτων</w:t>
            </w:r>
            <w:r w:rsidDel="00000000" w:rsidR="00000000" w:rsidRPr="00000000">
              <w:rPr>
                <w:rtl w:val="0"/>
              </w:rPr>
            </w:r>
          </w:p>
        </w:tc>
        <w:tc>
          <w:tcPr>
            <w:tcBorders>
              <w:top w:color="0032a0" w:space="0" w:sz="4" w:val="single"/>
              <w:left w:color="000000" w:space="0" w:sz="0" w:val="nil"/>
              <w:bottom w:color="000000" w:space="0" w:sz="0" w:val="nil"/>
              <w:right w:color="000000" w:space="0" w:sz="0" w:val="nil"/>
            </w:tcBorders>
            <w:shd w:fill="e6e6eb" w:val="clear"/>
            <w:vAlign w:val="center"/>
          </w:tcPr>
          <w:p w:rsidR="00000000" w:rsidDel="00000000" w:rsidP="00000000" w:rsidRDefault="00000000" w:rsidRPr="00000000" w14:paraId="0000005F">
            <w:pPr>
              <w:spacing w:after="0" w:line="240" w:lineRule="auto"/>
              <w:rPr>
                <w:rFonts w:ascii="The Wave Sans TT" w:cs="The Wave Sans TT" w:eastAsia="The Wave Sans TT" w:hAnsi="The Wave Sans TT"/>
                <w:sz w:val="20"/>
                <w:szCs w:val="20"/>
              </w:rPr>
            </w:pPr>
            <w:r w:rsidDel="00000000" w:rsidR="00000000" w:rsidRPr="00000000">
              <w:rPr>
                <w:rtl w:val="0"/>
              </w:rPr>
            </w:r>
          </w:p>
        </w:tc>
        <w:tc>
          <w:tcPr>
            <w:tcBorders>
              <w:top w:color="0032a0" w:space="0" w:sz="4" w:val="single"/>
              <w:left w:color="000000" w:space="0" w:sz="0" w:val="nil"/>
              <w:bottom w:color="000000" w:space="0" w:sz="0" w:val="nil"/>
              <w:right w:color="000000" w:space="0" w:sz="0" w:val="nil"/>
            </w:tcBorders>
            <w:shd w:fill="e6e6eb" w:val="clear"/>
            <w:vAlign w:val="center"/>
          </w:tcPr>
          <w:p w:rsidR="00000000" w:rsidDel="00000000" w:rsidP="00000000" w:rsidRDefault="00000000" w:rsidRPr="00000000" w14:paraId="00000060">
            <w:pPr>
              <w:spacing w:after="0" w:line="240" w:lineRule="auto"/>
              <w:rPr>
                <w:rFonts w:ascii="The Wave Sans TT" w:cs="The Wave Sans TT" w:eastAsia="The Wave Sans TT" w:hAnsi="The Wave Sans TT"/>
                <w:sz w:val="20"/>
                <w:szCs w:val="20"/>
              </w:rPr>
            </w:pPr>
            <w:r w:rsidDel="00000000" w:rsidR="00000000" w:rsidRPr="00000000">
              <w:rPr>
                <w:rtl w:val="0"/>
              </w:rPr>
            </w:r>
          </w:p>
        </w:tc>
        <w:tc>
          <w:tcPr>
            <w:tcBorders>
              <w:top w:color="0032a0" w:space="0" w:sz="4" w:val="single"/>
              <w:left w:color="000000" w:space="0" w:sz="0" w:val="nil"/>
              <w:bottom w:color="000000" w:space="0" w:sz="0" w:val="nil"/>
              <w:right w:color="000099" w:space="0" w:sz="4" w:val="single"/>
            </w:tcBorders>
            <w:shd w:fill="e6e6eb" w:val="clear"/>
          </w:tcPr>
          <w:p w:rsidR="00000000" w:rsidDel="00000000" w:rsidP="00000000" w:rsidRDefault="00000000" w:rsidRPr="00000000" w14:paraId="00000061">
            <w:pPr>
              <w:spacing w:after="0" w:line="240" w:lineRule="auto"/>
              <w:rPr>
                <w:rFonts w:ascii="The Wave Sans TT" w:cs="The Wave Sans TT" w:eastAsia="The Wave Sans TT" w:hAnsi="The Wave Sans TT"/>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vAlign w:val="center"/>
          </w:tcPr>
          <w:p w:rsidR="00000000" w:rsidDel="00000000" w:rsidP="00000000" w:rsidRDefault="00000000" w:rsidRPr="00000000" w14:paraId="00000062">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Όγκοι πωλήσεων Διύλισης (χιλ. ΜΤ)</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3">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3.688</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4">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3.987</w:t>
            </w:r>
          </w:p>
        </w:tc>
        <w:tc>
          <w:tcPr>
            <w:tcBorders>
              <w:top w:color="000000" w:space="0" w:sz="0" w:val="nil"/>
              <w:left w:color="000000" w:space="0" w:sz="0" w:val="nil"/>
              <w:bottom w:color="000000" w:space="0" w:sz="0" w:val="nil"/>
              <w:right w:color="000099" w:space="0" w:sz="4" w:val="single"/>
            </w:tcBorders>
            <w:vAlign w:val="center"/>
          </w:tcPr>
          <w:p w:rsidR="00000000" w:rsidDel="00000000" w:rsidP="00000000" w:rsidRDefault="00000000" w:rsidRPr="00000000" w14:paraId="00000065">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8%</w:t>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vAlign w:val="center"/>
          </w:tcPr>
          <w:p w:rsidR="00000000" w:rsidDel="00000000" w:rsidP="00000000" w:rsidRDefault="00000000" w:rsidRPr="00000000" w14:paraId="00000066">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Πωλήσεις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7">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3.113</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8">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3.278</w:t>
            </w:r>
          </w:p>
        </w:tc>
        <w:tc>
          <w:tcPr>
            <w:tcBorders>
              <w:top w:color="000000" w:space="0" w:sz="0" w:val="nil"/>
              <w:left w:color="000000" w:space="0" w:sz="0" w:val="nil"/>
              <w:bottom w:color="000000" w:space="0" w:sz="0" w:val="nil"/>
              <w:right w:color="000099" w:space="0" w:sz="4" w:val="single"/>
            </w:tcBorders>
            <w:vAlign w:val="center"/>
          </w:tcPr>
          <w:p w:rsidR="00000000" w:rsidDel="00000000" w:rsidP="00000000" w:rsidRDefault="00000000" w:rsidRPr="00000000" w14:paraId="00000069">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5%</w:t>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vAlign w:val="center"/>
          </w:tcPr>
          <w:p w:rsidR="00000000" w:rsidDel="00000000" w:rsidP="00000000" w:rsidRDefault="00000000" w:rsidRPr="00000000" w14:paraId="0000006A">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EBITDA</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B">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279</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C">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350</w:t>
            </w:r>
          </w:p>
        </w:tc>
        <w:tc>
          <w:tcPr>
            <w:tcBorders>
              <w:top w:color="000000" w:space="0" w:sz="0" w:val="nil"/>
              <w:left w:color="000000" w:space="0" w:sz="0" w:val="nil"/>
              <w:bottom w:color="000000" w:space="0" w:sz="0" w:val="nil"/>
              <w:right w:color="000099" w:space="0" w:sz="4" w:val="single"/>
            </w:tcBorders>
            <w:vAlign w:val="center"/>
          </w:tcPr>
          <w:p w:rsidR="00000000" w:rsidDel="00000000" w:rsidP="00000000" w:rsidRDefault="00000000" w:rsidRPr="00000000" w14:paraId="0000006D">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25%</w:t>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vAlign w:val="center"/>
          </w:tcPr>
          <w:p w:rsidR="00000000" w:rsidDel="00000000" w:rsidP="00000000" w:rsidRDefault="00000000" w:rsidRPr="00000000" w14:paraId="0000006E">
            <w:pPr>
              <w:spacing w:after="0" w:line="240" w:lineRule="auto"/>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Συγκρίσιμα EBITDA </w:t>
            </w:r>
            <w:r w:rsidDel="00000000" w:rsidR="00000000" w:rsidRPr="00000000">
              <w:rPr>
                <w:rFonts w:ascii="The Wave Sans TT" w:cs="The Wave Sans TT" w:eastAsia="The Wave Sans TT" w:hAnsi="The Wave Sans TT"/>
                <w:b w:val="1"/>
                <w:sz w:val="20"/>
                <w:szCs w:val="20"/>
                <w:vertAlign w:val="superscript"/>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6F">
            <w:pPr>
              <w:spacing w:after="0" w:line="240" w:lineRule="auto"/>
              <w:jc w:val="right"/>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404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0">
            <w:pPr>
              <w:spacing w:after="0" w:line="240" w:lineRule="auto"/>
              <w:jc w:val="right"/>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338</w:t>
            </w:r>
          </w:p>
        </w:tc>
        <w:tc>
          <w:tcPr>
            <w:tcBorders>
              <w:top w:color="000000" w:space="0" w:sz="0" w:val="nil"/>
              <w:left w:color="000000" w:space="0" w:sz="0" w:val="nil"/>
              <w:bottom w:color="000000" w:space="0" w:sz="0" w:val="nil"/>
              <w:right w:color="000099" w:space="0" w:sz="4" w:val="single"/>
            </w:tcBorders>
            <w:vAlign w:val="center"/>
          </w:tcPr>
          <w:p w:rsidR="00000000" w:rsidDel="00000000" w:rsidP="00000000" w:rsidRDefault="00000000" w:rsidRPr="00000000" w14:paraId="00000071">
            <w:pPr>
              <w:spacing w:after="0" w:line="240" w:lineRule="auto"/>
              <w:jc w:val="right"/>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-16%</w:t>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vAlign w:val="center"/>
          </w:tcPr>
          <w:p w:rsidR="00000000" w:rsidDel="00000000" w:rsidP="00000000" w:rsidRDefault="00000000" w:rsidRPr="00000000" w14:paraId="00000072">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Λειτουργικό Αποτέλεσμα</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3">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202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4">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268</w:t>
            </w:r>
          </w:p>
        </w:tc>
        <w:tc>
          <w:tcPr>
            <w:tcBorders>
              <w:top w:color="000000" w:space="0" w:sz="0" w:val="nil"/>
              <w:left w:color="000000" w:space="0" w:sz="0" w:val="nil"/>
              <w:bottom w:color="000000" w:space="0" w:sz="0" w:val="nil"/>
              <w:right w:color="000099" w:space="0" w:sz="4" w:val="single"/>
            </w:tcBorders>
            <w:vAlign w:val="center"/>
          </w:tcPr>
          <w:p w:rsidR="00000000" w:rsidDel="00000000" w:rsidP="00000000" w:rsidRDefault="00000000" w:rsidRPr="00000000" w14:paraId="00000075">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33%</w:t>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vAlign w:val="center"/>
          </w:tcPr>
          <w:p w:rsidR="00000000" w:rsidDel="00000000" w:rsidP="00000000" w:rsidRDefault="00000000" w:rsidRPr="00000000" w14:paraId="00000076">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Καθαρά Κέρδη</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7">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155</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8">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179</w:t>
            </w:r>
          </w:p>
        </w:tc>
        <w:tc>
          <w:tcPr>
            <w:tcBorders>
              <w:top w:color="000000" w:space="0" w:sz="0" w:val="nil"/>
              <w:left w:color="000000" w:space="0" w:sz="0" w:val="nil"/>
              <w:bottom w:color="000000" w:space="0" w:sz="0" w:val="nil"/>
              <w:right w:color="000099" w:space="0" w:sz="4" w:val="single"/>
            </w:tcBorders>
            <w:vAlign w:val="center"/>
          </w:tcPr>
          <w:p w:rsidR="00000000" w:rsidDel="00000000" w:rsidP="00000000" w:rsidRDefault="00000000" w:rsidRPr="00000000" w14:paraId="00000079">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16%</w:t>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vAlign w:val="center"/>
          </w:tcPr>
          <w:p w:rsidR="00000000" w:rsidDel="00000000" w:rsidP="00000000" w:rsidRDefault="00000000" w:rsidRPr="00000000" w14:paraId="0000007A">
            <w:pPr>
              <w:spacing w:after="0" w:line="240" w:lineRule="auto"/>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Συγκρίσιμα Καθαρά Κέρδη </w:t>
            </w:r>
            <w:r w:rsidDel="00000000" w:rsidR="00000000" w:rsidRPr="00000000">
              <w:rPr>
                <w:rFonts w:ascii="The Wave Sans TT" w:cs="The Wave Sans TT" w:eastAsia="The Wave Sans TT" w:hAnsi="The Wave Sans TT"/>
                <w:b w:val="1"/>
                <w:sz w:val="20"/>
                <w:szCs w:val="20"/>
                <w:vertAlign w:val="superscript"/>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B">
            <w:pPr>
              <w:spacing w:after="0" w:line="240" w:lineRule="auto"/>
              <w:jc w:val="right"/>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252</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C">
            <w:pPr>
              <w:spacing w:after="0" w:line="240" w:lineRule="auto"/>
              <w:jc w:val="right"/>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164</w:t>
            </w:r>
          </w:p>
        </w:tc>
        <w:tc>
          <w:tcPr>
            <w:tcBorders>
              <w:top w:color="000000" w:space="0" w:sz="0" w:val="nil"/>
              <w:left w:color="000000" w:space="0" w:sz="0" w:val="nil"/>
              <w:bottom w:color="000000" w:space="0" w:sz="0" w:val="nil"/>
              <w:right w:color="000099" w:space="0" w:sz="4" w:val="single"/>
            </w:tcBorders>
            <w:vAlign w:val="center"/>
          </w:tcPr>
          <w:p w:rsidR="00000000" w:rsidDel="00000000" w:rsidP="00000000" w:rsidRDefault="00000000" w:rsidRPr="00000000" w14:paraId="0000007D">
            <w:pPr>
              <w:spacing w:after="0" w:line="240" w:lineRule="auto"/>
              <w:jc w:val="right"/>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-35%</w:t>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shd w:fill="e6e6eb" w:val="clear"/>
            <w:vAlign w:val="center"/>
          </w:tcPr>
          <w:p w:rsidR="00000000" w:rsidDel="00000000" w:rsidP="00000000" w:rsidRDefault="00000000" w:rsidRPr="00000000" w14:paraId="0000007E">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b w:val="1"/>
                <w:sz w:val="20"/>
                <w:szCs w:val="20"/>
                <w:rtl w:val="0"/>
              </w:rPr>
              <w:t xml:space="preserve">Κύρια Στοιχεία Ισολογισμού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6e6eb" w:val="clear"/>
            <w:vAlign w:val="center"/>
          </w:tcPr>
          <w:p w:rsidR="00000000" w:rsidDel="00000000" w:rsidP="00000000" w:rsidRDefault="00000000" w:rsidRPr="00000000" w14:paraId="0000007F">
            <w:pPr>
              <w:spacing w:after="0" w:line="240" w:lineRule="auto"/>
              <w:jc w:val="right"/>
              <w:rPr>
                <w:rFonts w:ascii="The Wave Sans TT" w:cs="The Wave Sans TT" w:eastAsia="The Wave Sans TT" w:hAnsi="The Wave Sans TT"/>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6e6eb" w:val="clear"/>
            <w:vAlign w:val="center"/>
          </w:tcPr>
          <w:p w:rsidR="00000000" w:rsidDel="00000000" w:rsidP="00000000" w:rsidRDefault="00000000" w:rsidRPr="00000000" w14:paraId="00000080">
            <w:pPr>
              <w:spacing w:after="0" w:line="240" w:lineRule="auto"/>
              <w:jc w:val="right"/>
              <w:rPr>
                <w:rFonts w:ascii="The Wave Sans TT" w:cs="The Wave Sans TT" w:eastAsia="The Wave Sans TT" w:hAnsi="The Wave Sans TT"/>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99" w:space="0" w:sz="4" w:val="single"/>
            </w:tcBorders>
            <w:shd w:fill="e6e6eb" w:val="clear"/>
            <w:vAlign w:val="center"/>
          </w:tcPr>
          <w:p w:rsidR="00000000" w:rsidDel="00000000" w:rsidP="00000000" w:rsidRDefault="00000000" w:rsidRPr="00000000" w14:paraId="00000081">
            <w:pPr>
              <w:spacing w:after="0" w:line="240" w:lineRule="auto"/>
              <w:jc w:val="right"/>
              <w:rPr>
                <w:rFonts w:ascii="The Wave Sans TT" w:cs="The Wave Sans TT" w:eastAsia="The Wave Sans TT" w:hAnsi="The Wave Sans TT"/>
                <w:b w:val="1"/>
                <w:sz w:val="20"/>
                <w:szCs w:val="20"/>
              </w:rPr>
            </w:pPr>
            <w:r w:rsidDel="00000000" w:rsidR="00000000" w:rsidRPr="00000000">
              <w:rPr>
                <w:rtl w:val="0"/>
              </w:rPr>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vAlign w:val="center"/>
          </w:tcPr>
          <w:p w:rsidR="00000000" w:rsidDel="00000000" w:rsidP="00000000" w:rsidRDefault="00000000" w:rsidRPr="00000000" w14:paraId="00000082">
            <w:pPr>
              <w:spacing w:after="0" w:line="240" w:lineRule="auto"/>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sz w:val="20"/>
                <w:szCs w:val="20"/>
                <w:rtl w:val="0"/>
              </w:rPr>
              <w:t xml:space="preserve">Απασχολούμενα Κεφάλαια</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3">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4.331</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4">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4.887</w:t>
            </w:r>
          </w:p>
        </w:tc>
        <w:tc>
          <w:tcPr>
            <w:tcBorders>
              <w:top w:color="000000" w:space="0" w:sz="0" w:val="nil"/>
              <w:left w:color="000000" w:space="0" w:sz="0" w:val="nil"/>
              <w:bottom w:color="000000" w:space="0" w:sz="0" w:val="nil"/>
              <w:right w:color="000099" w:space="0" w:sz="4" w:val="single"/>
            </w:tcBorders>
            <w:vAlign w:val="center"/>
          </w:tcPr>
          <w:p w:rsidR="00000000" w:rsidDel="00000000" w:rsidP="00000000" w:rsidRDefault="00000000" w:rsidRPr="00000000" w14:paraId="00000085">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13%</w:t>
            </w:r>
          </w:p>
        </w:tc>
      </w:tr>
      <w:tr>
        <w:trPr>
          <w:cantSplit w:val="0"/>
          <w:trHeight w:val="432" w:hRule="atLeast"/>
          <w:tblHeader w:val="0"/>
        </w:trPr>
        <w:tc>
          <w:tcPr>
            <w:tcBorders>
              <w:top w:color="000000" w:space="0" w:sz="0" w:val="nil"/>
              <w:left w:color="000099" w:space="0" w:sz="4" w:val="single"/>
              <w:bottom w:color="000000" w:space="0" w:sz="0" w:val="nil"/>
              <w:right w:color="000000" w:space="0" w:sz="0" w:val="nil"/>
            </w:tcBorders>
            <w:vAlign w:val="center"/>
          </w:tcPr>
          <w:p w:rsidR="00000000" w:rsidDel="00000000" w:rsidP="00000000" w:rsidRDefault="00000000" w:rsidRPr="00000000" w14:paraId="00000086">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Καθαρός Δανεισμός</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7">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1.454</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8">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1.750</w:t>
            </w:r>
          </w:p>
        </w:tc>
        <w:tc>
          <w:tcPr>
            <w:tcBorders>
              <w:top w:color="000000" w:space="0" w:sz="0" w:val="nil"/>
              <w:left w:color="000000" w:space="0" w:sz="0" w:val="nil"/>
              <w:bottom w:color="000000" w:space="0" w:sz="0" w:val="nil"/>
              <w:right w:color="000099" w:space="0" w:sz="4" w:val="single"/>
            </w:tcBorders>
            <w:vAlign w:val="center"/>
          </w:tcPr>
          <w:p w:rsidR="00000000" w:rsidDel="00000000" w:rsidP="00000000" w:rsidRDefault="00000000" w:rsidRPr="00000000" w14:paraId="00000089">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20%</w:t>
            </w:r>
          </w:p>
        </w:tc>
      </w:tr>
      <w:tr>
        <w:trPr>
          <w:cantSplit w:val="0"/>
          <w:trHeight w:val="432" w:hRule="atLeast"/>
          <w:tblHeader w:val="0"/>
        </w:trPr>
        <w:tc>
          <w:tcPr>
            <w:tcBorders>
              <w:top w:color="000000" w:space="0" w:sz="0" w:val="nil"/>
              <w:left w:color="000099" w:space="0" w:sz="4" w:val="single"/>
              <w:bottom w:color="000099" w:space="0" w:sz="4" w:val="single"/>
              <w:right w:color="000000" w:space="0" w:sz="0" w:val="nil"/>
            </w:tcBorders>
            <w:vAlign w:val="center"/>
          </w:tcPr>
          <w:p w:rsidR="00000000" w:rsidDel="00000000" w:rsidP="00000000" w:rsidRDefault="00000000" w:rsidRPr="00000000" w14:paraId="0000008A">
            <w:pPr>
              <w:spacing w:after="0" w:line="24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Συντελεστής Δανειακής Μόχλευσης </w:t>
            </w:r>
          </w:p>
        </w:tc>
        <w:tc>
          <w:tcPr>
            <w:tcBorders>
              <w:top w:color="000000" w:space="0" w:sz="0" w:val="nil"/>
              <w:left w:color="000000" w:space="0" w:sz="0" w:val="nil"/>
              <w:bottom w:color="000099" w:space="0" w:sz="4" w:val="single"/>
              <w:right w:color="000000" w:space="0" w:sz="0" w:val="nil"/>
            </w:tcBorders>
            <w:vAlign w:val="center"/>
          </w:tcPr>
          <w:p w:rsidR="00000000" w:rsidDel="00000000" w:rsidP="00000000" w:rsidRDefault="00000000" w:rsidRPr="00000000" w14:paraId="0000008B">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34%</w:t>
            </w:r>
          </w:p>
        </w:tc>
        <w:tc>
          <w:tcPr>
            <w:tcBorders>
              <w:top w:color="000000" w:space="0" w:sz="0" w:val="nil"/>
              <w:left w:color="000000" w:space="0" w:sz="0" w:val="nil"/>
              <w:bottom w:color="000099" w:space="0" w:sz="4" w:val="single"/>
              <w:right w:color="000000" w:space="0" w:sz="0" w:val="nil"/>
            </w:tcBorders>
            <w:vAlign w:val="center"/>
          </w:tcPr>
          <w:p w:rsidR="00000000" w:rsidDel="00000000" w:rsidP="00000000" w:rsidRDefault="00000000" w:rsidRPr="00000000" w14:paraId="0000008C">
            <w:pPr>
              <w:spacing w:after="0" w:line="240" w:lineRule="auto"/>
              <w:jc w:val="right"/>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36%</w:t>
            </w:r>
          </w:p>
        </w:tc>
        <w:tc>
          <w:tcPr>
            <w:tcBorders>
              <w:top w:color="000000" w:space="0" w:sz="0" w:val="nil"/>
              <w:left w:color="000000" w:space="0" w:sz="0" w:val="nil"/>
              <w:bottom w:color="000099" w:space="0" w:sz="4" w:val="single"/>
              <w:right w:color="000099" w:space="0" w:sz="4" w:val="single"/>
            </w:tcBorders>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199" w:firstLine="0"/>
              <w:jc w:val="right"/>
              <w:rPr>
                <w:rFonts w:ascii="The Wave Sans TT" w:cs="The Wave Sans TT" w:eastAsia="The Wave Sans TT" w:hAnsi="The Wave Sans TT"/>
                <w:b w:val="0"/>
                <w:i w:val="0"/>
                <w:smallCaps w:val="0"/>
                <w:strike w:val="0"/>
                <w:color w:val="000000"/>
                <w:sz w:val="20"/>
                <w:szCs w:val="20"/>
                <w:u w:val="none"/>
                <w:shd w:fill="auto" w:val="clear"/>
                <w:vertAlign w:val="superscript"/>
              </w:rPr>
            </w:pPr>
            <w:r w:rsidDel="00000000" w:rsidR="00000000" w:rsidRPr="00000000">
              <w:rPr>
                <w:rFonts w:ascii="The Wave Sans TT" w:cs="The Wave Sans TT" w:eastAsia="The Wave Sans TT" w:hAnsi="The Wave Sans TT"/>
                <w:b w:val="0"/>
                <w:i w:val="0"/>
                <w:smallCaps w:val="0"/>
                <w:strike w:val="0"/>
                <w:color w:val="000000"/>
                <w:sz w:val="20"/>
                <w:szCs w:val="20"/>
                <w:u w:val="none"/>
                <w:shd w:fill="auto" w:val="clear"/>
                <w:vertAlign w:val="baseline"/>
                <w:rtl w:val="0"/>
              </w:rPr>
              <w:t xml:space="preserve">+2 π.μ</w:t>
            </w:r>
            <w:r w:rsidDel="00000000" w:rsidR="00000000" w:rsidRPr="00000000">
              <w:rPr>
                <w:rFonts w:ascii="The Wave Sans TT" w:cs="The Wave Sans TT" w:eastAsia="The Wave Sans TT" w:hAnsi="The Wave Sans TT"/>
                <w:b w:val="0"/>
                <w:i w:val="0"/>
                <w:smallCaps w:val="0"/>
                <w:strike w:val="0"/>
                <w:color w:val="000000"/>
                <w:sz w:val="20"/>
                <w:szCs w:val="20"/>
                <w:u w:val="none"/>
                <w:shd w:fill="auto" w:val="clear"/>
                <w:vertAlign w:val="superscript"/>
                <w:rtl w:val="0"/>
              </w:rPr>
              <w:t xml:space="preserve">2 2</w:t>
            </w:r>
          </w:p>
        </w:tc>
      </w:tr>
    </w:tbl>
    <w:p w:rsidR="00000000" w:rsidDel="00000000" w:rsidP="00000000" w:rsidRDefault="00000000" w:rsidRPr="00000000" w14:paraId="0000008E">
      <w:pPr>
        <w:spacing w:after="0" w:line="240" w:lineRule="auto"/>
        <w:rPr>
          <w:rFonts w:ascii="The Wave Sans TT" w:cs="The Wave Sans TT" w:eastAsia="The Wave Sans TT" w:hAnsi="The Wave Sans TT"/>
          <w:i w:val="1"/>
          <w:sz w:val="16"/>
          <w:szCs w:val="16"/>
        </w:rPr>
      </w:pPr>
      <w:r w:rsidDel="00000000" w:rsidR="00000000" w:rsidRPr="00000000">
        <w:rPr>
          <w:rFonts w:ascii="The Wave Sans TT" w:cs="The Wave Sans TT" w:eastAsia="The Wave Sans TT" w:hAnsi="The Wave Sans TT"/>
          <w:i w:val="1"/>
          <w:sz w:val="16"/>
          <w:szCs w:val="16"/>
          <w:rtl w:val="0"/>
        </w:rPr>
        <w:t xml:space="preserve"> </w:t>
      </w:r>
    </w:p>
    <w:p w:rsidR="00000000" w:rsidDel="00000000" w:rsidP="00000000" w:rsidRDefault="00000000" w:rsidRPr="00000000" w14:paraId="0000008F">
      <w:pPr>
        <w:spacing w:after="120" w:before="120" w:line="360" w:lineRule="auto"/>
        <w:ind w:right="187"/>
        <w:rPr>
          <w:rFonts w:ascii="Arial" w:cs="Arial" w:eastAsia="Arial" w:hAnsi="Arial"/>
          <w:i w:val="1"/>
          <w:sz w:val="16"/>
          <w:szCs w:val="16"/>
          <w:vertAlign w:val="subscript"/>
        </w:rPr>
      </w:pPr>
      <w:r w:rsidDel="00000000" w:rsidR="00000000" w:rsidRPr="00000000">
        <w:rPr>
          <w:rFonts w:ascii="Arial" w:cs="Arial" w:eastAsia="Arial" w:hAnsi="Arial"/>
          <w:i w:val="1"/>
          <w:sz w:val="16"/>
          <w:szCs w:val="16"/>
          <w:rtl w:val="0"/>
        </w:rPr>
        <w:t xml:space="preserve">Σημείωση 1: Αναπροσαρμοσμένα για τις επιπτώσεις από την αποτίμηση των αποθεμάτων, μη λειτουργικών/έκτακτων στοιχείων, καθώς και του λογιστικού χειρισμού του ελλείματος δικαιωμάτων CO</w:t>
      </w:r>
      <w:r w:rsidDel="00000000" w:rsidR="00000000" w:rsidRPr="00000000">
        <w:rPr>
          <w:rFonts w:ascii="Arial" w:cs="Arial" w:eastAsia="Arial" w:hAnsi="Arial"/>
          <w:i w:val="1"/>
          <w:sz w:val="16"/>
          <w:szCs w:val="16"/>
          <w:vertAlign w:val="subscript"/>
          <w:rtl w:val="0"/>
        </w:rPr>
        <w:t xml:space="preserve">2</w:t>
      </w:r>
    </w:p>
    <w:p w:rsidR="00000000" w:rsidDel="00000000" w:rsidP="00000000" w:rsidRDefault="00000000" w:rsidRPr="00000000" w14:paraId="00000090">
      <w:pPr>
        <w:spacing w:after="120" w:before="120" w:line="360" w:lineRule="auto"/>
        <w:ind w:right="187"/>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Σημείωση 2: π.μ.: ποσοστιαίες μονάδες</w:t>
      </w:r>
    </w:p>
    <w:p w:rsidR="00000000" w:rsidDel="00000000" w:rsidP="00000000" w:rsidRDefault="00000000" w:rsidRPr="00000000" w14:paraId="00000091">
      <w:pPr>
        <w:rPr>
          <w:rFonts w:ascii="The Wave Sans TT" w:cs="The Wave Sans TT" w:eastAsia="The Wave Sans TT" w:hAnsi="The Wave Sans TT"/>
          <w:b w:val="1"/>
          <w:sz w:val="4"/>
          <w:szCs w:val="4"/>
        </w:rPr>
      </w:pPr>
      <w:r w:rsidDel="00000000" w:rsidR="00000000" w:rsidRPr="00000000">
        <w:rPr>
          <w:rtl w:val="0"/>
        </w:rPr>
      </w:r>
    </w:p>
    <w:p w:rsidR="00000000" w:rsidDel="00000000" w:rsidP="00000000" w:rsidRDefault="00000000" w:rsidRPr="00000000" w14:paraId="00000092">
      <w:pPr>
        <w:spacing w:line="360" w:lineRule="auto"/>
        <w:rPr>
          <w:rFonts w:ascii="The Wave Sans TT" w:cs="The Wave Sans TT" w:eastAsia="The Wave Sans TT" w:hAnsi="The Wave Sans TT"/>
          <w:b w:val="1"/>
          <w:sz w:val="20"/>
          <w:szCs w:val="20"/>
        </w:rPr>
      </w:pPr>
      <w:r w:rsidDel="00000000" w:rsidR="00000000" w:rsidRPr="00000000">
        <w:rPr>
          <w:rFonts w:ascii="The Wave Sans TT" w:cs="The Wave Sans TT" w:eastAsia="The Wave Sans TT" w:hAnsi="The Wave Sans TT"/>
          <w:b w:val="1"/>
          <w:sz w:val="20"/>
          <w:szCs w:val="20"/>
          <w:rtl w:val="0"/>
        </w:rPr>
        <w:t xml:space="preserve">Περισσότερες πληροφορίες:</w:t>
      </w:r>
    </w:p>
    <w:p w:rsidR="00000000" w:rsidDel="00000000" w:rsidP="00000000" w:rsidRDefault="00000000" w:rsidRPr="00000000" w14:paraId="00000093">
      <w:pPr>
        <w:spacing w:after="0" w:line="360" w:lineRule="auto"/>
        <w:rPr>
          <w:rFonts w:ascii="The Wave Sans TT" w:cs="The Wave Sans TT" w:eastAsia="The Wave Sans TT" w:hAnsi="The Wave Sans TT"/>
          <w:b w:val="1"/>
          <w:sz w:val="20"/>
          <w:szCs w:val="20"/>
        </w:rPr>
      </w:pPr>
      <w:bookmarkStart w:colFirst="0" w:colLast="0" w:name="_3znysh7" w:id="3"/>
      <w:bookmarkEnd w:id="3"/>
      <w:r w:rsidDel="00000000" w:rsidR="00000000" w:rsidRPr="00000000">
        <w:rPr>
          <w:rFonts w:ascii="The Wave Sans TT" w:cs="The Wave Sans TT" w:eastAsia="The Wave Sans TT" w:hAnsi="The Wave Sans TT"/>
          <w:b w:val="1"/>
          <w:sz w:val="20"/>
          <w:szCs w:val="20"/>
          <w:rtl w:val="0"/>
        </w:rPr>
        <w:t xml:space="preserve">Διεύθυνση Σχέσεων με Επενδυτές</w:t>
      </w:r>
    </w:p>
    <w:p w:rsidR="00000000" w:rsidDel="00000000" w:rsidP="00000000" w:rsidRDefault="00000000" w:rsidRPr="00000000" w14:paraId="00000094">
      <w:pPr>
        <w:spacing w:after="0" w:line="36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Χειμάρρας 8A, 151 25 Μαρούσι, Αθήνα</w:t>
      </w:r>
    </w:p>
    <w:p w:rsidR="00000000" w:rsidDel="00000000" w:rsidP="00000000" w:rsidRDefault="00000000" w:rsidRPr="00000000" w14:paraId="00000095">
      <w:pPr>
        <w:widowControl w:val="0"/>
        <w:spacing w:after="0" w:line="360" w:lineRule="auto"/>
        <w:rPr>
          <w:rFonts w:ascii="The Wave Sans TT" w:cs="The Wave Sans TT" w:eastAsia="The Wave Sans TT" w:hAnsi="The Wave Sans TT"/>
          <w:sz w:val="20"/>
          <w:szCs w:val="20"/>
        </w:rPr>
      </w:pPr>
      <w:r w:rsidDel="00000000" w:rsidR="00000000" w:rsidRPr="00000000">
        <w:rPr>
          <w:rFonts w:ascii="The Wave Sans TT" w:cs="The Wave Sans TT" w:eastAsia="The Wave Sans TT" w:hAnsi="The Wave Sans TT"/>
          <w:sz w:val="20"/>
          <w:szCs w:val="20"/>
          <w:rtl w:val="0"/>
        </w:rPr>
        <w:t xml:space="preserve">Τηλ.: 210-6302526, 210-6302305</w:t>
      </w:r>
    </w:p>
    <w:p w:rsidR="00000000" w:rsidDel="00000000" w:rsidP="00000000" w:rsidRDefault="00000000" w:rsidRPr="00000000" w14:paraId="00000096">
      <w:pPr>
        <w:widowControl w:val="0"/>
        <w:tabs>
          <w:tab w:val="left" w:leader="none" w:pos="720"/>
          <w:tab w:val="left" w:leader="none" w:pos="1440"/>
          <w:tab w:val="left" w:leader="none" w:pos="2160"/>
          <w:tab w:val="left" w:leader="none" w:pos="6030"/>
        </w:tabs>
        <w:spacing w:after="0" w:line="360" w:lineRule="auto"/>
        <w:rPr/>
      </w:pPr>
      <w:r w:rsidDel="00000000" w:rsidR="00000000" w:rsidRPr="00000000">
        <w:rPr>
          <w:rFonts w:ascii="The Wave Sans TT" w:cs="The Wave Sans TT" w:eastAsia="The Wave Sans TT" w:hAnsi="The Wave Sans TT"/>
          <w:sz w:val="20"/>
          <w:szCs w:val="20"/>
          <w:rtl w:val="0"/>
        </w:rPr>
        <w:t xml:space="preserve">Email:</w:t>
      </w:r>
      <w:r w:rsidDel="00000000" w:rsidR="00000000" w:rsidRPr="00000000">
        <w:rPr>
          <w:rFonts w:ascii="The Wave Sans TT" w:cs="The Wave Sans TT" w:eastAsia="The Wave Sans TT" w:hAnsi="The Wave Sans TT"/>
          <w:rtl w:val="0"/>
        </w:rPr>
        <w:t xml:space="preserve"> </w:t>
      </w:r>
      <w:hyperlink r:id="rId6">
        <w:r w:rsidDel="00000000" w:rsidR="00000000" w:rsidRPr="00000000">
          <w:rPr>
            <w:rFonts w:ascii="The Wave Sans TT" w:cs="The Wave Sans TT" w:eastAsia="The Wave Sans TT" w:hAnsi="The Wave Sans TT"/>
            <w:color w:val="0000ff"/>
            <w:sz w:val="20"/>
            <w:szCs w:val="20"/>
            <w:u w:val="single"/>
            <w:rtl w:val="0"/>
          </w:rPr>
          <w:t xml:space="preserve">ir@helleniq.gr</w:t>
        </w:r>
      </w:hyperlink>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18" w:top="2750" w:left="1417" w:right="10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he Wave Sans TT"/>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220345</wp:posOffset>
              </wp:positionH>
              <wp:positionV relativeFrom="paragraph">
                <wp:posOffset>168275</wp:posOffset>
              </wp:positionV>
              <wp:extent cx="2979420" cy="297815"/>
              <wp:effectExtent b="0" l="0" r="0" t="0"/>
              <wp:wrapNone/>
              <wp:docPr id="1" name=""/>
              <a:graphic>
                <a:graphicData uri="http://schemas.microsoft.com/office/word/2010/wordprocessingShape">
                  <wps:wsp>
                    <wps:cNvSpPr txBox="1">
                      <a:spLocks/>
                    </wps:cNvSpPr>
                    <wps:spPr>
                      <a:xfrm>
                        <a:off x="0" y="0"/>
                        <a:ext cx="2979420" cy="297815"/>
                      </a:xfrm>
                      <a:prstGeom prst="rect">
                        <a:avLst/>
                      </a:prstGeom>
                      <a:noFill/>
                      <a:ln w="6350">
                        <a:noFill/>
                      </a:ln>
                    </wps:spPr>
                    <wps:txbx>
                      <w:txbxContent>
                        <w:p w:rsidR="004C53D7" w:rsidDel="00000000" w:rsidP="004D346D" w:rsidRDefault="004C53D7" w:rsidRPr="00760ECA" w14:paraId="63355F1B" w14:textId="77777777">
                          <w:pPr>
                            <w:rPr>
                              <w:rFonts w:ascii="The Wave Sans TT" w:hAnsi="The Wave Sans TT"/>
                              <w:color w:val="ffffff"/>
                              <w:sz w:val="24"/>
                              <w:szCs w:val="24"/>
                            </w:rPr>
                          </w:pPr>
                          <w:r w:rsidDel="00000000" w:rsidR="00000000" w:rsidRPr="00760ECA">
                            <w:rPr>
                              <w:rFonts w:ascii="The Wave Sans TT" w:eastAsia="Times New Roman" w:hAnsi="The Wave Sans TT"/>
                              <w:b w:val="1"/>
                              <w:bCs w:val="1"/>
                              <w:color w:val="ffffff"/>
                              <w:sz w:val="24"/>
                              <w:szCs w:val="24"/>
                              <w:lang w:bidi="he-IL" w:eastAsia="zh-TW" w:val="en-US"/>
                            </w:rPr>
                            <w:t>Empowering Tomorrow</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220345</wp:posOffset>
              </wp:positionH>
              <wp:positionV relativeFrom="paragraph">
                <wp:posOffset>168275</wp:posOffset>
              </wp:positionV>
              <wp:extent cx="2979420" cy="2978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79420" cy="2978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-315594</wp:posOffset>
          </wp:positionH>
          <wp:positionV relativeFrom="paragraph">
            <wp:posOffset>0</wp:posOffset>
          </wp:positionV>
          <wp:extent cx="1985645" cy="5715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85645" cy="571500"/>
                  </a:xfrm>
                  <a:prstGeom prst="rect"/>
                  <a:ln/>
                </pic:spPr>
              </pic:pic>
            </a:graphicData>
          </a:graphic>
        </wp:anchor>
      </w:drawing>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09" w:hanging="359.99999999999994"/>
      </w:pPr>
      <w:rPr>
        <w:rFonts w:ascii="Arial" w:cs="Arial" w:eastAsia="Arial" w:hAnsi="Arial"/>
        <w:color w:val="000000"/>
        <w:sz w:val="20"/>
        <w:szCs w:val="20"/>
      </w:rPr>
    </w:lvl>
    <w:lvl w:ilvl="1">
      <w:start w:val="1"/>
      <w:numFmt w:val="bullet"/>
      <w:lvlText w:val="o"/>
      <w:lvlJc w:val="left"/>
      <w:pPr>
        <w:ind w:left="1429" w:hanging="360"/>
      </w:pPr>
      <w:rPr>
        <w:rFonts w:ascii="Courier New" w:cs="Courier New" w:eastAsia="Courier New" w:hAnsi="Courier New"/>
      </w:rPr>
    </w:lvl>
    <w:lvl w:ilvl="2">
      <w:start w:val="1"/>
      <w:numFmt w:val="bullet"/>
      <w:lvlText w:val="▪"/>
      <w:lvlJc w:val="left"/>
      <w:pPr>
        <w:ind w:left="2149" w:hanging="360"/>
      </w:pPr>
      <w:rPr>
        <w:rFonts w:ascii="Noto Sans Symbols" w:cs="Noto Sans Symbols" w:eastAsia="Noto Sans Symbols" w:hAnsi="Noto Sans Symbols"/>
      </w:rPr>
    </w:lvl>
    <w:lvl w:ilvl="3">
      <w:start w:val="1"/>
      <w:numFmt w:val="bullet"/>
      <w:lvlText w:val="●"/>
      <w:lvlJc w:val="left"/>
      <w:pPr>
        <w:ind w:left="2869" w:hanging="360"/>
      </w:pPr>
      <w:rPr>
        <w:rFonts w:ascii="Noto Sans Symbols" w:cs="Noto Sans Symbols" w:eastAsia="Noto Sans Symbols" w:hAnsi="Noto Sans Symbols"/>
      </w:rPr>
    </w:lvl>
    <w:lvl w:ilvl="4">
      <w:start w:val="1"/>
      <w:numFmt w:val="bullet"/>
      <w:lvlText w:val="o"/>
      <w:lvlJc w:val="left"/>
      <w:pPr>
        <w:ind w:left="3589" w:hanging="360"/>
      </w:pPr>
      <w:rPr>
        <w:rFonts w:ascii="Courier New" w:cs="Courier New" w:eastAsia="Courier New" w:hAnsi="Courier New"/>
      </w:rPr>
    </w:lvl>
    <w:lvl w:ilvl="5">
      <w:start w:val="1"/>
      <w:numFmt w:val="bullet"/>
      <w:lvlText w:val="▪"/>
      <w:lvlJc w:val="left"/>
      <w:pPr>
        <w:ind w:left="4309" w:hanging="360"/>
      </w:pPr>
      <w:rPr>
        <w:rFonts w:ascii="Noto Sans Symbols" w:cs="Noto Sans Symbols" w:eastAsia="Noto Sans Symbols" w:hAnsi="Noto Sans Symbols"/>
      </w:rPr>
    </w:lvl>
    <w:lvl w:ilvl="6">
      <w:start w:val="1"/>
      <w:numFmt w:val="bullet"/>
      <w:lvlText w:val="●"/>
      <w:lvlJc w:val="left"/>
      <w:pPr>
        <w:ind w:left="5029" w:hanging="360"/>
      </w:pPr>
      <w:rPr>
        <w:rFonts w:ascii="Noto Sans Symbols" w:cs="Noto Sans Symbols" w:eastAsia="Noto Sans Symbols" w:hAnsi="Noto Sans Symbols"/>
      </w:rPr>
    </w:lvl>
    <w:lvl w:ilvl="7">
      <w:start w:val="1"/>
      <w:numFmt w:val="bullet"/>
      <w:lvlText w:val="o"/>
      <w:lvlJc w:val="left"/>
      <w:pPr>
        <w:ind w:left="5749" w:hanging="360"/>
      </w:pPr>
      <w:rPr>
        <w:rFonts w:ascii="Courier New" w:cs="Courier New" w:eastAsia="Courier New" w:hAnsi="Courier New"/>
      </w:rPr>
    </w:lvl>
    <w:lvl w:ilvl="8">
      <w:start w:val="1"/>
      <w:numFmt w:val="bullet"/>
      <w:lvlText w:val="▪"/>
      <w:lvlJc w:val="left"/>
      <w:pPr>
        <w:ind w:left="646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ir@helleniq.gr" TargetMode="Externa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